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3F5D4" w14:textId="11D1DCC7" w:rsidR="00F76F97" w:rsidRDefault="00F80362" w:rsidP="00F76F97">
      <w:pPr>
        <w:jc w:val="both"/>
        <w:rPr>
          <w:b/>
          <w:bCs/>
        </w:rPr>
      </w:pPr>
      <w:r w:rsidRPr="00F80362">
        <w:rPr>
          <w:rFonts w:ascii="Aptos" w:eastAsia="Aptos" w:hAnsi="Aptos" w:cs="Times New Roman"/>
          <w:b/>
          <w:bCs/>
          <w:color w:val="auto"/>
          <w:kern w:val="2"/>
          <w:sz w:val="24"/>
          <w:lang w:val="en-US"/>
          <w14:ligatures w14:val="standardContextual"/>
        </w:rPr>
        <w:t xml:space="preserve">Keynote - </w:t>
      </w:r>
      <w:r w:rsidRPr="00F80362">
        <w:rPr>
          <w:b/>
          <w:bCs/>
        </w:rPr>
        <w:t>Employee Overload: Balancing Work with Life with a Heavy Workload</w:t>
      </w:r>
    </w:p>
    <w:p w14:paraId="200037E1" w14:textId="77777777" w:rsidR="00F80362" w:rsidRDefault="00F80362" w:rsidP="00F76F97">
      <w:pPr>
        <w:jc w:val="both"/>
        <w:rPr>
          <w:b/>
          <w:bCs/>
        </w:rPr>
      </w:pPr>
    </w:p>
    <w:p w14:paraId="317A5391" w14:textId="0B5B1B4E" w:rsidR="00F80362" w:rsidRDefault="00F80362" w:rsidP="00F76F97">
      <w:pPr>
        <w:jc w:val="both"/>
        <w:rPr>
          <w:b/>
          <w:bCs/>
        </w:rPr>
      </w:pPr>
      <w:r>
        <w:rPr>
          <w:b/>
          <w:bCs/>
        </w:rPr>
        <w:t>Dr. Linda Duxbury</w:t>
      </w:r>
    </w:p>
    <w:p w14:paraId="7078C53C" w14:textId="77777777" w:rsidR="00F80362" w:rsidRDefault="00F80362" w:rsidP="00F76F97">
      <w:pPr>
        <w:jc w:val="both"/>
        <w:rPr>
          <w:b/>
          <w:bCs/>
        </w:rPr>
      </w:pPr>
    </w:p>
    <w:p w14:paraId="2F62CA52" w14:textId="77777777" w:rsidR="00F80362" w:rsidRPr="00F80362" w:rsidRDefault="00F80362" w:rsidP="00F80362">
      <w:pPr>
        <w:jc w:val="both"/>
      </w:pPr>
      <w:r w:rsidRPr="00F80362">
        <w:t xml:space="preserve">Many employers implement family-friendly policies such as </w:t>
      </w:r>
      <w:proofErr w:type="spellStart"/>
      <w:r w:rsidRPr="00F80362">
        <w:t>flextime</w:t>
      </w:r>
      <w:proofErr w:type="spellEnd"/>
      <w:r w:rsidRPr="00F80362">
        <w:t xml:space="preserve"> and compressed work weeks but do not always achieve the desired results. This presentation explores why many family-friendly practices fail to deliver the intended outcomes when they are implemented within a culture that focuses on hours worked rather than output, where “presenteeism” is equated with productivity.</w:t>
      </w:r>
    </w:p>
    <w:p w14:paraId="60E3939C" w14:textId="77777777" w:rsidR="00F80362" w:rsidRPr="00F80362" w:rsidRDefault="00F80362" w:rsidP="00F80362">
      <w:pPr>
        <w:jc w:val="both"/>
        <w:rPr>
          <w:rFonts w:ascii="Aptos" w:hAnsi="Aptos"/>
          <w:color w:val="auto"/>
          <w:sz w:val="24"/>
        </w:rPr>
      </w:pPr>
    </w:p>
    <w:p w14:paraId="7BF866E7" w14:textId="77777777" w:rsidR="00F80362" w:rsidRPr="00F80362" w:rsidRDefault="00F80362" w:rsidP="00F80362">
      <w:pPr>
        <w:jc w:val="both"/>
      </w:pPr>
      <w:r w:rsidRPr="00F80362">
        <w:t>The session will begin by examining why employee workloads, particularly at the managerial and professional levels, have increased over the past several decades. It will then explore the impact of high workloads on employees and the organization’s bottom line. The presentation will conclude with practical suggestions for reducing workloads without necessarily hiring additional staff.</w:t>
      </w:r>
    </w:p>
    <w:p w14:paraId="249537B4" w14:textId="77777777" w:rsidR="00F80362" w:rsidRPr="00F80362" w:rsidRDefault="00F80362" w:rsidP="00F80362">
      <w:pPr>
        <w:jc w:val="both"/>
        <w:rPr>
          <w:rFonts w:ascii="Aptos" w:eastAsia="Aptos" w:hAnsi="Aptos" w:cs="Times New Roman"/>
          <w:b/>
          <w:bCs/>
          <w:color w:val="auto"/>
          <w:kern w:val="2"/>
          <w:sz w:val="24"/>
          <w:lang w:val="en-US"/>
          <w14:ligatures w14:val="standardContextual"/>
        </w:rPr>
      </w:pPr>
    </w:p>
    <w:p w14:paraId="44101953" w14:textId="77777777" w:rsidR="00F80362" w:rsidRDefault="00F80362" w:rsidP="00F76F97">
      <w:pPr>
        <w:jc w:val="both"/>
        <w:rPr>
          <w:rFonts w:ascii="Aptos" w:eastAsia="Aptos" w:hAnsi="Aptos" w:cs="Times New Roman"/>
          <w:color w:val="auto"/>
          <w:kern w:val="2"/>
          <w:sz w:val="24"/>
          <w:lang w:val="en-US"/>
          <w14:ligatures w14:val="standardContextual"/>
        </w:rPr>
      </w:pPr>
    </w:p>
    <w:p w14:paraId="2CD2B926" w14:textId="60FDE813" w:rsidR="00F80362" w:rsidRDefault="00F80362" w:rsidP="00F76F97">
      <w:pPr>
        <w:jc w:val="both"/>
        <w:rPr>
          <w:b/>
          <w:bCs/>
        </w:rPr>
      </w:pPr>
      <w:r w:rsidRPr="00F80362">
        <w:rPr>
          <w:b/>
          <w:bCs/>
        </w:rPr>
        <w:t>Morning Workshop - Capable Managers: The Scarcest Resource of All</w:t>
      </w:r>
    </w:p>
    <w:p w14:paraId="47C97AED" w14:textId="77777777" w:rsidR="00F80362" w:rsidRDefault="00F80362" w:rsidP="00F76F97">
      <w:pPr>
        <w:jc w:val="both"/>
        <w:rPr>
          <w:b/>
          <w:bCs/>
        </w:rPr>
      </w:pPr>
    </w:p>
    <w:p w14:paraId="37F5F79F" w14:textId="4E5B4B49" w:rsidR="00F80362" w:rsidRDefault="00F80362" w:rsidP="00F80362">
      <w:pPr>
        <w:jc w:val="both"/>
        <w:rPr>
          <w:b/>
          <w:bCs/>
        </w:rPr>
      </w:pPr>
      <w:r>
        <w:rPr>
          <w:b/>
          <w:bCs/>
        </w:rPr>
        <w:t>Dr. Linda Duxbur</w:t>
      </w:r>
      <w:r w:rsidR="00C14D1E">
        <w:rPr>
          <w:b/>
          <w:bCs/>
        </w:rPr>
        <w:t>y</w:t>
      </w:r>
    </w:p>
    <w:p w14:paraId="6E6600ED" w14:textId="77777777" w:rsidR="00F80362" w:rsidRPr="00F80362" w:rsidRDefault="00F80362" w:rsidP="00F80362">
      <w:pPr>
        <w:jc w:val="both"/>
        <w:rPr>
          <w:b/>
          <w:bCs/>
        </w:rPr>
      </w:pPr>
    </w:p>
    <w:p w14:paraId="5AC556EC" w14:textId="77777777" w:rsidR="00F80362" w:rsidRPr="00F80362" w:rsidRDefault="00F80362" w:rsidP="00F80362">
      <w:r w:rsidRPr="00F80362">
        <w:t>This presentation draws on Duxbury and Higgins’ research on supportive management (n = 100,000) to explore the critical role of managers within an organization.</w:t>
      </w:r>
    </w:p>
    <w:p w14:paraId="232774CF" w14:textId="77777777" w:rsidR="00F80362" w:rsidRPr="00F80362" w:rsidRDefault="00F80362" w:rsidP="00F80362">
      <w:pPr>
        <w:rPr>
          <w:rFonts w:ascii="Aptos" w:hAnsi="Aptos"/>
          <w:color w:val="auto"/>
          <w:sz w:val="24"/>
        </w:rPr>
      </w:pPr>
    </w:p>
    <w:p w14:paraId="5FA487EE" w14:textId="77777777" w:rsidR="00F80362" w:rsidRDefault="00F80362" w:rsidP="00F80362">
      <w:r w:rsidRPr="00F80362">
        <w:t>The session will begin by outlining the behaviours associated with effective and ineffective management and examining the difference a supportive manager can make to key employee and organizational outcomes. The discussion will then explore why many managers struggle with the “people” side of their role and identify potential solutions.</w:t>
      </w:r>
    </w:p>
    <w:p w14:paraId="35A9B333" w14:textId="77777777" w:rsidR="00F80362" w:rsidRPr="00F80362" w:rsidRDefault="00F80362" w:rsidP="00F80362"/>
    <w:p w14:paraId="45FF9A64" w14:textId="286527DA" w:rsidR="00F80362" w:rsidRPr="00F80362" w:rsidRDefault="00F80362" w:rsidP="00F80362">
      <w:r w:rsidRPr="00F80362">
        <w:t>The final section will offer practical suggestions for managers on how to manage upwards and identify actions they can take within their own areas to support their teams and the organization.</w:t>
      </w:r>
    </w:p>
    <w:p w14:paraId="4A40EDF7" w14:textId="77777777" w:rsidR="00F80362" w:rsidRPr="00F80362" w:rsidRDefault="00F80362" w:rsidP="00F76F97">
      <w:pPr>
        <w:jc w:val="both"/>
        <w:rPr>
          <w:b/>
          <w:bCs/>
        </w:rPr>
      </w:pPr>
    </w:p>
    <w:p w14:paraId="73046B92" w14:textId="4A715D58" w:rsidR="00F80362" w:rsidRPr="00C14D1E" w:rsidRDefault="00C14D1E" w:rsidP="00F76F97">
      <w:pPr>
        <w:jc w:val="both"/>
        <w:rPr>
          <w:b/>
          <w:bCs/>
        </w:rPr>
      </w:pPr>
      <w:r w:rsidRPr="00C14D1E">
        <w:rPr>
          <w:b/>
          <w:bCs/>
        </w:rPr>
        <w:t>Workplace Culture: Achieving Wellbeing in a BANI World</w:t>
      </w:r>
    </w:p>
    <w:p w14:paraId="081DD90A" w14:textId="77777777" w:rsidR="00F80362" w:rsidRDefault="00F80362" w:rsidP="00F76F97">
      <w:pPr>
        <w:jc w:val="both"/>
        <w:rPr>
          <w:rFonts w:ascii="Aptos" w:eastAsia="Aptos" w:hAnsi="Aptos" w:cs="Times New Roman"/>
          <w:color w:val="auto"/>
          <w:kern w:val="2"/>
          <w:sz w:val="24"/>
          <w:lang w:val="en-US"/>
          <w14:ligatures w14:val="standardContextual"/>
        </w:rPr>
      </w:pPr>
    </w:p>
    <w:p w14:paraId="1E9D5B43" w14:textId="3018A83B" w:rsidR="00C14D1E" w:rsidRDefault="00C14D1E" w:rsidP="00C14D1E">
      <w:pPr>
        <w:autoSpaceDE w:val="0"/>
        <w:autoSpaceDN w:val="0"/>
        <w:adjustRightInd w:val="0"/>
      </w:pPr>
      <w:r w:rsidRPr="00C14D1E">
        <w:t>In today’s BANI (Brittle, Anxious, Nonlinear, Incomprehensible) environment, HR leaders in schoolboards are uniquely positioned to shape workplaces where staff feel supported, valued, and able</w:t>
      </w:r>
      <w:r>
        <w:t xml:space="preserve"> </w:t>
      </w:r>
      <w:r w:rsidRPr="00C14D1E">
        <w:t>to thrive. As well-being continues to be a key priority, there is an opportunity to move beyond</w:t>
      </w:r>
      <w:r>
        <w:t xml:space="preserve"> </w:t>
      </w:r>
      <w:r w:rsidRPr="00C14D1E">
        <w:t>standalone initiatives and embed well-being into the everyday culture of our organizations.</w:t>
      </w:r>
    </w:p>
    <w:p w14:paraId="772460CF" w14:textId="77777777" w:rsidR="00C14D1E" w:rsidRPr="00C14D1E" w:rsidRDefault="00C14D1E" w:rsidP="00C14D1E">
      <w:pPr>
        <w:autoSpaceDE w:val="0"/>
        <w:autoSpaceDN w:val="0"/>
        <w:adjustRightInd w:val="0"/>
      </w:pPr>
    </w:p>
    <w:p w14:paraId="15C2E95E" w14:textId="77777777" w:rsidR="00C14D1E" w:rsidRPr="00C14D1E" w:rsidRDefault="00C14D1E" w:rsidP="00C14D1E">
      <w:pPr>
        <w:autoSpaceDE w:val="0"/>
        <w:autoSpaceDN w:val="0"/>
        <w:adjustRightInd w:val="0"/>
      </w:pPr>
      <w:r w:rsidRPr="00C14D1E">
        <w:lastRenderedPageBreak/>
        <w:t>This engaging workshop focuses on how well-being is experienced through daily interactions,</w:t>
      </w:r>
    </w:p>
    <w:p w14:paraId="717F6E52" w14:textId="77777777" w:rsidR="00C14D1E" w:rsidRPr="00C14D1E" w:rsidRDefault="00C14D1E" w:rsidP="00C14D1E">
      <w:pPr>
        <w:autoSpaceDE w:val="0"/>
        <w:autoSpaceDN w:val="0"/>
        <w:adjustRightInd w:val="0"/>
      </w:pPr>
      <w:r w:rsidRPr="00C14D1E">
        <w:t>leadership practices, and organizational conditions. It highlights the powerful role HR</w:t>
      </w:r>
    </w:p>
    <w:p w14:paraId="77D4E115" w14:textId="0855FD08" w:rsidR="00C14D1E" w:rsidRDefault="00C14D1E" w:rsidP="00C14D1E">
      <w:pPr>
        <w:autoSpaceDE w:val="0"/>
        <w:autoSpaceDN w:val="0"/>
        <w:adjustRightInd w:val="0"/>
      </w:pPr>
      <w:r w:rsidRPr="00C14D1E">
        <w:t>professionals play in fostering environments where voice, trust, and psychological safety are part</w:t>
      </w:r>
      <w:r>
        <w:t xml:space="preserve"> </w:t>
      </w:r>
      <w:r w:rsidRPr="00C14D1E">
        <w:t>of the fabric of work.</w:t>
      </w:r>
    </w:p>
    <w:p w14:paraId="4AB54778" w14:textId="77777777" w:rsidR="00C14D1E" w:rsidRPr="00C14D1E" w:rsidRDefault="00C14D1E" w:rsidP="00C14D1E">
      <w:pPr>
        <w:autoSpaceDE w:val="0"/>
        <w:autoSpaceDN w:val="0"/>
        <w:adjustRightInd w:val="0"/>
      </w:pPr>
    </w:p>
    <w:p w14:paraId="3CCBE3A8" w14:textId="77777777" w:rsidR="00C14D1E" w:rsidRPr="00C14D1E" w:rsidRDefault="00C14D1E" w:rsidP="00C14D1E">
      <w:pPr>
        <w:autoSpaceDE w:val="0"/>
        <w:autoSpaceDN w:val="0"/>
        <w:adjustRightInd w:val="0"/>
      </w:pPr>
      <w:r w:rsidRPr="00C14D1E">
        <w:t>Participants will explore:</w:t>
      </w:r>
    </w:p>
    <w:p w14:paraId="74E975C6" w14:textId="77777777" w:rsidR="00C14D1E" w:rsidRPr="00C14D1E" w:rsidRDefault="00C14D1E" w:rsidP="00C14D1E">
      <w:pPr>
        <w:autoSpaceDE w:val="0"/>
        <w:autoSpaceDN w:val="0"/>
        <w:adjustRightInd w:val="0"/>
      </w:pPr>
      <w:r w:rsidRPr="00C14D1E">
        <w:t>How to strengthen well-being through intentional culture-building</w:t>
      </w:r>
    </w:p>
    <w:p w14:paraId="3B5833A7" w14:textId="77777777" w:rsidR="00C14D1E" w:rsidRPr="00C14D1E" w:rsidRDefault="00C14D1E" w:rsidP="00C14D1E">
      <w:pPr>
        <w:autoSpaceDE w:val="0"/>
        <w:autoSpaceDN w:val="0"/>
        <w:adjustRightInd w:val="0"/>
      </w:pPr>
      <w:r w:rsidRPr="00C14D1E">
        <w:t>The impact of everyday interactions on staff experience</w:t>
      </w:r>
    </w:p>
    <w:p w14:paraId="41C257EC" w14:textId="77777777" w:rsidR="00C14D1E" w:rsidRPr="00C14D1E" w:rsidRDefault="00C14D1E" w:rsidP="00C14D1E">
      <w:pPr>
        <w:autoSpaceDE w:val="0"/>
        <w:autoSpaceDN w:val="0"/>
        <w:adjustRightInd w:val="0"/>
      </w:pPr>
      <w:r w:rsidRPr="00C14D1E">
        <w:t>Strategies to amplify employee voice and build trust</w:t>
      </w:r>
    </w:p>
    <w:p w14:paraId="57B3D2CC" w14:textId="77777777" w:rsidR="00C14D1E" w:rsidRPr="00C14D1E" w:rsidRDefault="00C14D1E" w:rsidP="00C14D1E">
      <w:pPr>
        <w:autoSpaceDE w:val="0"/>
        <w:autoSpaceDN w:val="0"/>
        <w:adjustRightInd w:val="0"/>
      </w:pPr>
      <w:r w:rsidRPr="00C14D1E">
        <w:t>Leadership and organizational practices that support engagement and belonging</w:t>
      </w:r>
    </w:p>
    <w:p w14:paraId="01B6DC98" w14:textId="77777777" w:rsidR="00C14D1E" w:rsidRDefault="00C14D1E" w:rsidP="00C14D1E">
      <w:pPr>
        <w:autoSpaceDE w:val="0"/>
        <w:autoSpaceDN w:val="0"/>
        <w:adjustRightInd w:val="0"/>
      </w:pPr>
    </w:p>
    <w:p w14:paraId="39FBA6F7" w14:textId="3587CA79" w:rsidR="00C14D1E" w:rsidRPr="00C14D1E" w:rsidRDefault="00C14D1E" w:rsidP="00C14D1E">
      <w:pPr>
        <w:autoSpaceDE w:val="0"/>
        <w:autoSpaceDN w:val="0"/>
        <w:adjustRightInd w:val="0"/>
      </w:pPr>
      <w:r w:rsidRPr="00C14D1E">
        <w:t>Grounded in the realities of school systems, this session offers practical approaches to cultivating</w:t>
      </w:r>
      <w:r>
        <w:t xml:space="preserve"> </w:t>
      </w:r>
      <w:r w:rsidRPr="00C14D1E">
        <w:t>a more human-centred, resilient workplace, where well-being is not an add-on, but an</w:t>
      </w:r>
    </w:p>
    <w:p w14:paraId="5A1C8F98" w14:textId="06412115" w:rsidR="00F80362" w:rsidRDefault="00C14D1E" w:rsidP="00C14D1E">
      <w:pPr>
        <w:jc w:val="both"/>
        <w:rPr>
          <w:rFonts w:ascii="Aptos" w:eastAsia="Aptos" w:hAnsi="Aptos" w:cs="Times New Roman"/>
          <w:color w:val="auto"/>
          <w:kern w:val="2"/>
          <w:sz w:val="24"/>
          <w:lang w:val="en-US"/>
          <w14:ligatures w14:val="standardContextual"/>
        </w:rPr>
      </w:pPr>
      <w:r w:rsidRPr="00C14D1E">
        <w:t>embedded and sustainable way of working</w:t>
      </w:r>
      <w:r>
        <w:rPr>
          <w:rFonts w:ascii="SegoeUI-Light" w:hAnsi="SegoeUI-Light" w:cs="SegoeUI-Light"/>
          <w:color w:val="0C64C1"/>
          <w:sz w:val="23"/>
          <w:szCs w:val="23"/>
          <w:lang w:val="en-US"/>
        </w:rPr>
        <w:t>.</w:t>
      </w:r>
    </w:p>
    <w:p w14:paraId="48810E23" w14:textId="77777777" w:rsidR="00F80362" w:rsidRDefault="00F80362" w:rsidP="00F76F97">
      <w:pPr>
        <w:jc w:val="both"/>
        <w:rPr>
          <w:rFonts w:ascii="Aptos" w:eastAsia="Aptos" w:hAnsi="Aptos" w:cs="Times New Roman"/>
          <w:color w:val="auto"/>
          <w:kern w:val="2"/>
          <w:sz w:val="24"/>
          <w:lang w:val="en-US"/>
          <w14:ligatures w14:val="standardContextual"/>
        </w:rPr>
      </w:pPr>
    </w:p>
    <w:p w14:paraId="4802C2D8" w14:textId="77777777" w:rsidR="00F80362" w:rsidRDefault="00F80362" w:rsidP="00F76F97">
      <w:pPr>
        <w:jc w:val="both"/>
        <w:rPr>
          <w:rFonts w:ascii="Aptos" w:eastAsia="Aptos" w:hAnsi="Aptos" w:cs="Times New Roman"/>
          <w:color w:val="auto"/>
          <w:kern w:val="2"/>
          <w:sz w:val="24"/>
          <w:lang w:val="en-US"/>
          <w14:ligatures w14:val="standardContextual"/>
        </w:rPr>
      </w:pPr>
    </w:p>
    <w:p w14:paraId="0A3AC622" w14:textId="77777777" w:rsidR="00C14D1E" w:rsidRDefault="00C14D1E" w:rsidP="00F76F97">
      <w:pPr>
        <w:jc w:val="both"/>
        <w:rPr>
          <w:rFonts w:ascii="Aptos" w:eastAsia="Aptos" w:hAnsi="Aptos" w:cs="Times New Roman"/>
          <w:color w:val="auto"/>
          <w:kern w:val="2"/>
          <w:sz w:val="24"/>
          <w:lang w:val="en-US"/>
          <w14:ligatures w14:val="standardContextual"/>
        </w:rPr>
      </w:pPr>
    </w:p>
    <w:p w14:paraId="3B5808D8" w14:textId="77777777" w:rsidR="00C14D1E" w:rsidRDefault="00C14D1E" w:rsidP="00F76F97">
      <w:pPr>
        <w:jc w:val="both"/>
        <w:rPr>
          <w:rFonts w:ascii="Aptos" w:eastAsia="Aptos" w:hAnsi="Aptos" w:cs="Times New Roman"/>
          <w:color w:val="auto"/>
          <w:kern w:val="2"/>
          <w:sz w:val="24"/>
          <w:lang w:val="en-US"/>
          <w14:ligatures w14:val="standardContextual"/>
        </w:rPr>
      </w:pPr>
    </w:p>
    <w:p w14:paraId="3CB46134" w14:textId="77777777" w:rsidR="00C14D1E" w:rsidRDefault="00C14D1E" w:rsidP="00F76F97">
      <w:pPr>
        <w:jc w:val="both"/>
        <w:rPr>
          <w:rFonts w:ascii="Aptos" w:eastAsia="Aptos" w:hAnsi="Aptos" w:cs="Times New Roman"/>
          <w:color w:val="auto"/>
          <w:kern w:val="2"/>
          <w:sz w:val="24"/>
          <w:lang w:val="en-US"/>
          <w14:ligatures w14:val="standardContextual"/>
        </w:rPr>
      </w:pPr>
    </w:p>
    <w:p w14:paraId="34046E37" w14:textId="77777777" w:rsidR="00C14D1E" w:rsidRDefault="00C14D1E" w:rsidP="00F76F97">
      <w:pPr>
        <w:jc w:val="both"/>
        <w:rPr>
          <w:rFonts w:ascii="Aptos" w:eastAsia="Aptos" w:hAnsi="Aptos" w:cs="Times New Roman"/>
          <w:color w:val="auto"/>
          <w:kern w:val="2"/>
          <w:sz w:val="24"/>
          <w:lang w:val="en-US"/>
          <w14:ligatures w14:val="standardContextual"/>
        </w:rPr>
      </w:pPr>
    </w:p>
    <w:p w14:paraId="3DABB41B" w14:textId="77777777" w:rsidR="00C14D1E" w:rsidRDefault="00C14D1E" w:rsidP="00F76F97">
      <w:pPr>
        <w:jc w:val="both"/>
        <w:rPr>
          <w:rFonts w:ascii="Aptos" w:eastAsia="Aptos" w:hAnsi="Aptos" w:cs="Times New Roman"/>
          <w:color w:val="auto"/>
          <w:kern w:val="2"/>
          <w:sz w:val="24"/>
          <w:lang w:val="en-US"/>
          <w14:ligatures w14:val="standardContextual"/>
        </w:rPr>
      </w:pPr>
    </w:p>
    <w:p w14:paraId="6CE183A6" w14:textId="77777777" w:rsidR="00C14D1E" w:rsidRDefault="00C14D1E" w:rsidP="00F76F97">
      <w:pPr>
        <w:jc w:val="both"/>
        <w:rPr>
          <w:rFonts w:ascii="Aptos" w:eastAsia="Aptos" w:hAnsi="Aptos" w:cs="Times New Roman"/>
          <w:color w:val="auto"/>
          <w:kern w:val="2"/>
          <w:sz w:val="24"/>
          <w:lang w:val="en-US"/>
          <w14:ligatures w14:val="standardContextual"/>
        </w:rPr>
      </w:pPr>
    </w:p>
    <w:p w14:paraId="4C20A80C" w14:textId="77777777" w:rsidR="00C14D1E" w:rsidRDefault="00C14D1E" w:rsidP="00F76F97">
      <w:pPr>
        <w:jc w:val="both"/>
        <w:rPr>
          <w:rFonts w:ascii="Aptos" w:eastAsia="Aptos" w:hAnsi="Aptos" w:cs="Times New Roman"/>
          <w:color w:val="auto"/>
          <w:kern w:val="2"/>
          <w:sz w:val="24"/>
          <w:lang w:val="en-US"/>
          <w14:ligatures w14:val="standardContextual"/>
        </w:rPr>
      </w:pPr>
    </w:p>
    <w:p w14:paraId="549FD8BE" w14:textId="77777777" w:rsidR="00C14D1E" w:rsidRDefault="00C14D1E" w:rsidP="00F76F97">
      <w:pPr>
        <w:jc w:val="both"/>
        <w:rPr>
          <w:rFonts w:ascii="Aptos" w:eastAsia="Aptos" w:hAnsi="Aptos" w:cs="Times New Roman"/>
          <w:color w:val="auto"/>
          <w:kern w:val="2"/>
          <w:sz w:val="24"/>
          <w:lang w:val="en-US"/>
          <w14:ligatures w14:val="standardContextual"/>
        </w:rPr>
      </w:pPr>
    </w:p>
    <w:p w14:paraId="39AE16EE" w14:textId="77777777" w:rsidR="00C14D1E" w:rsidRDefault="00C14D1E" w:rsidP="00F76F97">
      <w:pPr>
        <w:jc w:val="both"/>
        <w:rPr>
          <w:rFonts w:ascii="Aptos" w:eastAsia="Aptos" w:hAnsi="Aptos" w:cs="Times New Roman"/>
          <w:color w:val="auto"/>
          <w:kern w:val="2"/>
          <w:sz w:val="24"/>
          <w:lang w:val="en-US"/>
          <w14:ligatures w14:val="standardContextual"/>
        </w:rPr>
      </w:pPr>
    </w:p>
    <w:p w14:paraId="6694544B" w14:textId="77777777" w:rsidR="00C14D1E" w:rsidRDefault="00C14D1E" w:rsidP="00F76F97">
      <w:pPr>
        <w:jc w:val="both"/>
        <w:rPr>
          <w:rFonts w:ascii="Aptos" w:eastAsia="Aptos" w:hAnsi="Aptos" w:cs="Times New Roman"/>
          <w:color w:val="auto"/>
          <w:kern w:val="2"/>
          <w:sz w:val="24"/>
          <w:lang w:val="en-US"/>
          <w14:ligatures w14:val="standardContextual"/>
        </w:rPr>
      </w:pPr>
    </w:p>
    <w:p w14:paraId="4146AF0C" w14:textId="77777777" w:rsidR="00C14D1E" w:rsidRDefault="00C14D1E" w:rsidP="00F76F97">
      <w:pPr>
        <w:jc w:val="both"/>
        <w:rPr>
          <w:rFonts w:ascii="Aptos" w:eastAsia="Aptos" w:hAnsi="Aptos" w:cs="Times New Roman"/>
          <w:color w:val="auto"/>
          <w:kern w:val="2"/>
          <w:sz w:val="24"/>
          <w:lang w:val="en-US"/>
          <w14:ligatures w14:val="standardContextual"/>
        </w:rPr>
      </w:pPr>
    </w:p>
    <w:p w14:paraId="1EF93177" w14:textId="77777777" w:rsidR="00C14D1E" w:rsidRDefault="00C14D1E" w:rsidP="00F76F97">
      <w:pPr>
        <w:jc w:val="both"/>
        <w:rPr>
          <w:rFonts w:ascii="Aptos" w:eastAsia="Aptos" w:hAnsi="Aptos" w:cs="Times New Roman"/>
          <w:color w:val="auto"/>
          <w:kern w:val="2"/>
          <w:sz w:val="24"/>
          <w:lang w:val="en-US"/>
          <w14:ligatures w14:val="standardContextual"/>
        </w:rPr>
      </w:pPr>
    </w:p>
    <w:p w14:paraId="5AC789F2" w14:textId="77777777" w:rsidR="00C14D1E" w:rsidRDefault="00C14D1E" w:rsidP="00F76F97">
      <w:pPr>
        <w:jc w:val="both"/>
        <w:rPr>
          <w:rFonts w:ascii="Aptos" w:eastAsia="Aptos" w:hAnsi="Aptos" w:cs="Times New Roman"/>
          <w:color w:val="auto"/>
          <w:kern w:val="2"/>
          <w:sz w:val="24"/>
          <w:lang w:val="en-US"/>
          <w14:ligatures w14:val="standardContextual"/>
        </w:rPr>
      </w:pPr>
    </w:p>
    <w:p w14:paraId="16385F9B" w14:textId="77777777" w:rsidR="00C14D1E" w:rsidRDefault="00C14D1E" w:rsidP="00F76F97">
      <w:pPr>
        <w:jc w:val="both"/>
        <w:rPr>
          <w:rFonts w:ascii="Aptos" w:eastAsia="Aptos" w:hAnsi="Aptos" w:cs="Times New Roman"/>
          <w:color w:val="auto"/>
          <w:kern w:val="2"/>
          <w:sz w:val="24"/>
          <w:lang w:val="en-US"/>
          <w14:ligatures w14:val="standardContextual"/>
        </w:rPr>
      </w:pPr>
    </w:p>
    <w:p w14:paraId="3D39074A" w14:textId="77777777" w:rsidR="00C14D1E" w:rsidRDefault="00C14D1E" w:rsidP="00F76F97">
      <w:pPr>
        <w:jc w:val="both"/>
        <w:rPr>
          <w:rFonts w:ascii="Aptos" w:eastAsia="Aptos" w:hAnsi="Aptos" w:cs="Times New Roman"/>
          <w:color w:val="auto"/>
          <w:kern w:val="2"/>
          <w:sz w:val="24"/>
          <w:lang w:val="en-US"/>
          <w14:ligatures w14:val="standardContextual"/>
        </w:rPr>
      </w:pPr>
    </w:p>
    <w:p w14:paraId="625B7D2F" w14:textId="77777777" w:rsidR="00C14D1E" w:rsidRDefault="00C14D1E" w:rsidP="00F76F97">
      <w:pPr>
        <w:jc w:val="both"/>
        <w:rPr>
          <w:rFonts w:ascii="Aptos" w:eastAsia="Aptos" w:hAnsi="Aptos" w:cs="Times New Roman"/>
          <w:color w:val="auto"/>
          <w:kern w:val="2"/>
          <w:sz w:val="24"/>
          <w:lang w:val="en-US"/>
          <w14:ligatures w14:val="standardContextual"/>
        </w:rPr>
      </w:pPr>
    </w:p>
    <w:p w14:paraId="6F2EA6DB" w14:textId="77777777" w:rsidR="00C14D1E" w:rsidRDefault="00C14D1E" w:rsidP="00F76F97">
      <w:pPr>
        <w:jc w:val="both"/>
        <w:rPr>
          <w:rFonts w:ascii="Aptos" w:eastAsia="Aptos" w:hAnsi="Aptos" w:cs="Times New Roman"/>
          <w:color w:val="auto"/>
          <w:kern w:val="2"/>
          <w:sz w:val="24"/>
          <w:lang w:val="en-US"/>
          <w14:ligatures w14:val="standardContextual"/>
        </w:rPr>
      </w:pPr>
    </w:p>
    <w:p w14:paraId="5C42E1C3" w14:textId="77777777" w:rsidR="00C14D1E" w:rsidRDefault="00C14D1E" w:rsidP="00F76F97">
      <w:pPr>
        <w:jc w:val="both"/>
        <w:rPr>
          <w:rFonts w:ascii="Aptos" w:eastAsia="Aptos" w:hAnsi="Aptos" w:cs="Times New Roman"/>
          <w:color w:val="auto"/>
          <w:kern w:val="2"/>
          <w:sz w:val="24"/>
          <w:lang w:val="en-US"/>
          <w14:ligatures w14:val="standardContextual"/>
        </w:rPr>
      </w:pPr>
    </w:p>
    <w:p w14:paraId="67539C89" w14:textId="77777777" w:rsidR="00C14D1E" w:rsidRDefault="00C14D1E" w:rsidP="00F76F97">
      <w:pPr>
        <w:jc w:val="both"/>
        <w:rPr>
          <w:rFonts w:ascii="Aptos" w:eastAsia="Aptos" w:hAnsi="Aptos" w:cs="Times New Roman"/>
          <w:color w:val="auto"/>
          <w:kern w:val="2"/>
          <w:sz w:val="24"/>
          <w:lang w:val="en-US"/>
          <w14:ligatures w14:val="standardContextual"/>
        </w:rPr>
      </w:pPr>
    </w:p>
    <w:p w14:paraId="2E66F2B3" w14:textId="77777777" w:rsidR="00C14D1E" w:rsidRDefault="00C14D1E" w:rsidP="00F76F97">
      <w:pPr>
        <w:jc w:val="both"/>
        <w:rPr>
          <w:rFonts w:ascii="Aptos" w:eastAsia="Aptos" w:hAnsi="Aptos" w:cs="Times New Roman"/>
          <w:color w:val="auto"/>
          <w:kern w:val="2"/>
          <w:sz w:val="24"/>
          <w:lang w:val="en-US"/>
          <w14:ligatures w14:val="standardContextual"/>
        </w:rPr>
      </w:pPr>
    </w:p>
    <w:p w14:paraId="59419875" w14:textId="77777777" w:rsidR="00C14D1E" w:rsidRDefault="00C14D1E" w:rsidP="00F76F97">
      <w:pPr>
        <w:jc w:val="both"/>
        <w:rPr>
          <w:rFonts w:ascii="Aptos" w:eastAsia="Aptos" w:hAnsi="Aptos" w:cs="Times New Roman"/>
          <w:color w:val="auto"/>
          <w:kern w:val="2"/>
          <w:sz w:val="24"/>
          <w:lang w:val="en-US"/>
          <w14:ligatures w14:val="standardContextual"/>
        </w:rPr>
      </w:pPr>
    </w:p>
    <w:p w14:paraId="7B978584" w14:textId="7EDB53DB" w:rsidR="00F76F97" w:rsidRDefault="00F76F97" w:rsidP="00F76F97">
      <w:pPr>
        <w:jc w:val="both"/>
        <w:rPr>
          <w:rFonts w:cs="Arial"/>
          <w:b/>
          <w:bCs/>
          <w:szCs w:val="22"/>
          <w:lang w:val="en-US"/>
        </w:rPr>
      </w:pPr>
      <w:r w:rsidRPr="00385861">
        <w:rPr>
          <w:rFonts w:cs="Arial"/>
          <w:b/>
          <w:bCs/>
          <w:szCs w:val="22"/>
          <w:lang w:val="en-US"/>
        </w:rPr>
        <w:lastRenderedPageBreak/>
        <w:t xml:space="preserve">Beyond the </w:t>
      </w:r>
      <w:r>
        <w:rPr>
          <w:rFonts w:cs="Arial"/>
          <w:b/>
          <w:bCs/>
          <w:szCs w:val="22"/>
          <w:lang w:val="en-US"/>
        </w:rPr>
        <w:t>Medical Condition</w:t>
      </w:r>
      <w:r w:rsidRPr="00385861">
        <w:rPr>
          <w:rFonts w:cs="Arial"/>
          <w:b/>
          <w:bCs/>
          <w:szCs w:val="22"/>
          <w:lang w:val="en-US"/>
        </w:rPr>
        <w:t>: A Holistic Approach to Disability Management and Employee Support</w:t>
      </w:r>
      <w:bookmarkStart w:id="0" w:name="Session1"/>
    </w:p>
    <w:p w14:paraId="3B7E2085" w14:textId="77777777" w:rsidR="00F76F97" w:rsidRPr="00F76F97" w:rsidRDefault="00F76F97" w:rsidP="00F76F97">
      <w:pPr>
        <w:jc w:val="both"/>
        <w:rPr>
          <w:rFonts w:cs="Arial"/>
          <w:b/>
          <w:bCs/>
          <w:szCs w:val="22"/>
          <w:lang w:val="en-US"/>
        </w:rPr>
      </w:pPr>
    </w:p>
    <w:p w14:paraId="06A89777" w14:textId="4CBCA1C9" w:rsidR="00F76F97" w:rsidRPr="00F76F97" w:rsidRDefault="00F76F97" w:rsidP="00F76F97">
      <w:pPr>
        <w:spacing w:after="160" w:line="278" w:lineRule="auto"/>
        <w:jc w:val="both"/>
        <w:rPr>
          <w:rFonts w:eastAsia="Aptos" w:cs="Arial"/>
          <w:color w:val="auto"/>
          <w:kern w:val="2"/>
          <w:sz w:val="18"/>
          <w:szCs w:val="18"/>
          <w:lang w:val="en-US"/>
          <w14:ligatures w14:val="standardContextual"/>
        </w:rPr>
      </w:pPr>
      <w:r w:rsidRPr="00F76F97">
        <w:rPr>
          <w:rFonts w:eastAsia="Aptos" w:cs="Arial"/>
          <w:b/>
          <w:bCs/>
          <w:i/>
          <w:iCs/>
          <w:color w:val="auto"/>
          <w:kern w:val="2"/>
          <w:sz w:val="18"/>
          <w:szCs w:val="18"/>
          <w:lang w:val="en-US"/>
          <w14:ligatures w14:val="standardContextual"/>
        </w:rPr>
        <w:t>Because the medical condition is only part of the story</w:t>
      </w:r>
      <w:r w:rsidRPr="00F76F97">
        <w:rPr>
          <w:rFonts w:eastAsia="Aptos" w:cs="Arial"/>
          <w:i/>
          <w:iCs/>
          <w:color w:val="auto"/>
          <w:kern w:val="2"/>
          <w:sz w:val="18"/>
          <w:szCs w:val="18"/>
          <w:lang w:val="en-US"/>
          <w14:ligatures w14:val="standardContextual"/>
        </w:rPr>
        <w:t>.</w:t>
      </w:r>
    </w:p>
    <w:p w14:paraId="0CC75207"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 xml:space="preserve">An employee may have </w:t>
      </w:r>
      <w:proofErr w:type="gramStart"/>
      <w:r w:rsidRPr="00F76F97">
        <w:rPr>
          <w:rFonts w:eastAsia="Aptos" w:cs="Arial"/>
          <w:color w:val="auto"/>
          <w:kern w:val="2"/>
          <w:szCs w:val="22"/>
          <w:lang w:val="en-US"/>
          <w14:ligatures w14:val="standardContextual"/>
        </w:rPr>
        <w:t>a medical</w:t>
      </w:r>
      <w:proofErr w:type="gramEnd"/>
      <w:r w:rsidRPr="00F76F97">
        <w:rPr>
          <w:rFonts w:eastAsia="Aptos" w:cs="Arial"/>
          <w:color w:val="auto"/>
          <w:kern w:val="2"/>
          <w:szCs w:val="22"/>
          <w:lang w:val="en-US"/>
          <w14:ligatures w14:val="standardContextual"/>
        </w:rPr>
        <w:t xml:space="preserve"> condition. But it alone rarely tells us the whole story of what is preventing someone from returning to work, remaining at work, or succeeding once they are back.</w:t>
      </w:r>
    </w:p>
    <w:p w14:paraId="55A286F2"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 xml:space="preserve">The biopsychosocial approach recognizes that an employee’s health, recovery and ability to work are </w:t>
      </w:r>
      <w:proofErr w:type="gramStart"/>
      <w:r w:rsidRPr="00F76F97">
        <w:rPr>
          <w:rFonts w:eastAsia="Aptos" w:cs="Arial"/>
          <w:color w:val="auto"/>
          <w:kern w:val="2"/>
          <w:szCs w:val="22"/>
          <w:lang w:val="en-US"/>
          <w14:ligatures w14:val="standardContextual"/>
        </w:rPr>
        <w:t>influenced by</w:t>
      </w:r>
      <w:proofErr w:type="gramEnd"/>
      <w:r w:rsidRPr="00F76F97">
        <w:rPr>
          <w:rFonts w:eastAsia="Aptos" w:cs="Arial"/>
          <w:color w:val="auto"/>
          <w:kern w:val="2"/>
          <w:szCs w:val="22"/>
          <w:lang w:val="en-US"/>
          <w14:ligatures w14:val="standardContextual"/>
        </w:rPr>
        <w:t xml:space="preserve"> much more than their medical condition. Psychological factors, relationships, workplace culture, job demands, organizational practices and the broader circumstances can all shape the experience of absence, recovery and return to work.</w:t>
      </w:r>
    </w:p>
    <w:p w14:paraId="571FD8CA"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b/>
          <w:bCs/>
          <w:color w:val="auto"/>
          <w:kern w:val="2"/>
          <w:szCs w:val="22"/>
          <w:lang w:val="en-US"/>
          <w14:ligatures w14:val="standardContextual"/>
        </w:rPr>
        <w:t>So, what happens when we focus only on the medical condition?</w:t>
      </w:r>
    </w:p>
    <w:p w14:paraId="7BCCA647"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We can miss the barriers that matter most.</w:t>
      </w:r>
    </w:p>
    <w:p w14:paraId="7513FD62"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This panel discussion will explore how taking a holistic, employee-</w:t>
      </w:r>
      <w:proofErr w:type="spellStart"/>
      <w:r w:rsidRPr="00F76F97">
        <w:rPr>
          <w:rFonts w:eastAsia="Aptos" w:cs="Arial"/>
          <w:color w:val="auto"/>
          <w:kern w:val="2"/>
          <w:szCs w:val="22"/>
          <w:lang w:val="en-US"/>
          <w14:ligatures w14:val="standardContextual"/>
        </w:rPr>
        <w:t>centred</w:t>
      </w:r>
      <w:proofErr w:type="spellEnd"/>
      <w:r w:rsidRPr="00F76F97">
        <w:rPr>
          <w:rFonts w:eastAsia="Aptos" w:cs="Arial"/>
          <w:color w:val="auto"/>
          <w:kern w:val="2"/>
          <w:szCs w:val="22"/>
          <w:lang w:val="en-US"/>
          <w14:ligatures w14:val="standardContextual"/>
        </w:rPr>
        <w:t xml:space="preserve"> approach to disability management and workplace support can help identify those barriers and lead to more meaningful and sustainable outcomes. We’ll look at the psychosocial factors that can influence an employee before, during and after an absence, and explore how understanding the whole person can lead to more effective, individualized support.</w:t>
      </w:r>
    </w:p>
    <w:p w14:paraId="1AEC81BB"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We’ll also examine the role of workplace culture and the psychosocial work environment. A psychologically healthy and safe workplace doesn’t just support recovery and return to work. It can also help prevent disability-related absences by addressing psychosocial risks, strengthening engagement and resilience, and creating conditions where employees can remain connected to work and thrive.</w:t>
      </w:r>
    </w:p>
    <w:p w14:paraId="7E399069"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Participants will leave with a practical understanding of the biopsychosocial model and how it can be applied to disability management. We’ll explore how prevention, workplace well-being, accommodation, case management and employee support can work together to improve the employee experience, strengthen organizational outcomes and create healthier, more sustainable workplaces.</w:t>
      </w:r>
    </w:p>
    <w:p w14:paraId="0166162B"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b/>
          <w:bCs/>
          <w:color w:val="auto"/>
          <w:kern w:val="2"/>
          <w:szCs w:val="22"/>
          <w:lang w:val="en-US"/>
          <w14:ligatures w14:val="standardContextual"/>
        </w:rPr>
        <w:t>Because effective disability management starts with seeing the person, not just the medical condition.</w:t>
      </w:r>
    </w:p>
    <w:bookmarkEnd w:id="0"/>
    <w:p w14:paraId="446D1336" w14:textId="77777777" w:rsidR="00F76F97" w:rsidRPr="00F76F97" w:rsidRDefault="00F76F97" w:rsidP="00F76F97">
      <w:pPr>
        <w:spacing w:line="278" w:lineRule="auto"/>
        <w:jc w:val="both"/>
        <w:rPr>
          <w:rFonts w:eastAsia="Aptos" w:cs="Arial"/>
          <w:b/>
          <w:bCs/>
          <w:color w:val="auto"/>
          <w:kern w:val="2"/>
          <w:szCs w:val="22"/>
          <w:lang w:val="en-US"/>
          <w14:ligatures w14:val="standardContextual"/>
        </w:rPr>
      </w:pPr>
    </w:p>
    <w:p w14:paraId="77FCE713" w14:textId="77777777" w:rsidR="00F76F97" w:rsidRDefault="00F76F97" w:rsidP="00F76F97">
      <w:pPr>
        <w:spacing w:line="278" w:lineRule="auto"/>
        <w:jc w:val="both"/>
        <w:rPr>
          <w:rFonts w:eastAsia="Aptos" w:cs="Arial"/>
          <w:b/>
          <w:bCs/>
          <w:color w:val="auto"/>
          <w:kern w:val="2"/>
          <w:sz w:val="24"/>
          <w:lang w:val="en-US"/>
          <w14:ligatures w14:val="standardContextual"/>
        </w:rPr>
      </w:pPr>
    </w:p>
    <w:p w14:paraId="5047522C" w14:textId="2D322687" w:rsidR="00F76F97" w:rsidRPr="00F76F97" w:rsidRDefault="00F76F97" w:rsidP="00F76F97">
      <w:pPr>
        <w:spacing w:line="278" w:lineRule="auto"/>
        <w:jc w:val="both"/>
        <w:rPr>
          <w:rFonts w:eastAsia="Aptos" w:cs="Arial"/>
          <w:b/>
          <w:bCs/>
          <w:color w:val="auto"/>
          <w:kern w:val="2"/>
          <w:szCs w:val="22"/>
          <w:lang w:val="en-US"/>
          <w14:ligatures w14:val="standardContextual"/>
        </w:rPr>
      </w:pPr>
      <w:r w:rsidRPr="00F76F97">
        <w:rPr>
          <w:rFonts w:eastAsia="Aptos" w:cs="Arial"/>
          <w:b/>
          <w:bCs/>
          <w:color w:val="auto"/>
          <w:kern w:val="2"/>
          <w:szCs w:val="22"/>
          <w:lang w:val="en-US"/>
          <w14:ligatures w14:val="standardContextual"/>
        </w:rPr>
        <w:lastRenderedPageBreak/>
        <w:t>Supporting Employee Mental Health in Complex School Environments</w:t>
      </w:r>
    </w:p>
    <w:p w14:paraId="0EE8B459" w14:textId="77777777" w:rsidR="00F76F97" w:rsidRDefault="00F76F97" w:rsidP="00F76F97">
      <w:pPr>
        <w:spacing w:line="278" w:lineRule="auto"/>
        <w:jc w:val="both"/>
        <w:rPr>
          <w:rFonts w:eastAsia="Aptos" w:cs="Arial"/>
          <w:b/>
          <w:bCs/>
          <w:color w:val="auto"/>
          <w:kern w:val="2"/>
          <w:sz w:val="18"/>
          <w:szCs w:val="18"/>
          <w:lang w:val="en-US"/>
          <w14:ligatures w14:val="standardContextual"/>
        </w:rPr>
      </w:pPr>
    </w:p>
    <w:p w14:paraId="5B28414B" w14:textId="3C39C288" w:rsidR="00F76F97" w:rsidRPr="00F76F97" w:rsidRDefault="00F76F97" w:rsidP="00F76F97">
      <w:pPr>
        <w:spacing w:line="278" w:lineRule="auto"/>
        <w:jc w:val="both"/>
        <w:rPr>
          <w:rFonts w:eastAsia="Aptos" w:cs="Arial"/>
          <w:b/>
          <w:bCs/>
          <w:color w:val="auto"/>
          <w:kern w:val="2"/>
          <w:sz w:val="18"/>
          <w:szCs w:val="18"/>
          <w:lang w:val="en-US"/>
          <w14:ligatures w14:val="standardContextual"/>
        </w:rPr>
      </w:pPr>
      <w:r w:rsidRPr="00F76F97">
        <w:rPr>
          <w:rFonts w:eastAsia="Aptos" w:cs="Arial"/>
          <w:b/>
          <w:bCs/>
          <w:color w:val="auto"/>
          <w:kern w:val="2"/>
          <w:sz w:val="18"/>
          <w:szCs w:val="18"/>
          <w:lang w:val="en-US"/>
          <w14:ligatures w14:val="standardContextual"/>
        </w:rPr>
        <w:t>Seeing the risks that aren’t always visible.</w:t>
      </w:r>
    </w:p>
    <w:p w14:paraId="325DB5E2" w14:textId="77777777" w:rsidR="00F76F97" w:rsidRPr="00F76F97" w:rsidRDefault="00F76F97" w:rsidP="00F76F97">
      <w:pPr>
        <w:spacing w:line="278" w:lineRule="auto"/>
        <w:jc w:val="both"/>
        <w:rPr>
          <w:rFonts w:eastAsia="Aptos" w:cs="Arial"/>
          <w:b/>
          <w:bCs/>
          <w:color w:val="auto"/>
          <w:kern w:val="2"/>
          <w:sz w:val="18"/>
          <w:szCs w:val="18"/>
          <w:lang w:val="en-US"/>
          <w14:ligatures w14:val="standardContextual"/>
        </w:rPr>
      </w:pPr>
    </w:p>
    <w:p w14:paraId="50177E8F"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 xml:space="preserve">How do you measure the risks that live in silence; the ones people stop talking about but never stop feeling? </w:t>
      </w:r>
    </w:p>
    <w:p w14:paraId="305F1D86"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Most school boards can easily identify operational risks, yet few can see their psychosocial ones.</w:t>
      </w:r>
    </w:p>
    <w:p w14:paraId="4BFC74E5"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What is the true cost of not seeing them? Are we fully aware of the long-term psychological harm created by gaps in our systems, policies, processes, and training?</w:t>
      </w:r>
    </w:p>
    <w:p w14:paraId="2F1D5F84"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Psychosocial hazard blind spots are like walking into a high-risk environment without PPE. The danger isn’t always visible, but the exposure is real, cumulative, and often overlooked. Over time, these risks can show up as disengagement, absenteeism, retention challenges, strained trust, and performance concerns that may be misunderstood as individual issues rather than signals of broader workplace strain.</w:t>
      </w:r>
    </w:p>
    <w:p w14:paraId="14E61B21"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Preventing psychosocial hazards isn’t just a wellness initiative; it is an operational responsibility and a core component of whole person protection. School boards that learn to see these silent risks can strengthen culture, reduce harm, and build environments where staff and students can genuinely thrive.</w:t>
      </w:r>
    </w:p>
    <w:p w14:paraId="5AAB821A"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 xml:space="preserve">In this session we will share our insights and recommendations based on our experience with school boards in implementing the CSA Standard Z1003 on Psychological Health &amp; Safety in the Workplace. </w:t>
      </w:r>
    </w:p>
    <w:p w14:paraId="00AAF35F"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Most importantly, participants will leave with a clearer understanding of what to look for, where the risks may be hiding, and what Boards can do to move from reacting to psychological health concerns to proactively managing psychosocial risk.</w:t>
      </w:r>
    </w:p>
    <w:p w14:paraId="39472169" w14:textId="77777777" w:rsidR="00F76F97" w:rsidRPr="00F76F97" w:rsidRDefault="00F76F97" w:rsidP="00F76F97">
      <w:pPr>
        <w:spacing w:after="160" w:line="278" w:lineRule="auto"/>
        <w:jc w:val="both"/>
        <w:rPr>
          <w:rFonts w:eastAsia="Aptos" w:cs="Arial"/>
          <w:b/>
          <w:bCs/>
          <w:color w:val="auto"/>
          <w:kern w:val="2"/>
          <w:szCs w:val="22"/>
          <w:lang w:val="en-US"/>
          <w14:ligatures w14:val="standardContextual"/>
        </w:rPr>
      </w:pPr>
      <w:r w:rsidRPr="00F76F97">
        <w:rPr>
          <w:rFonts w:eastAsia="Aptos" w:cs="Arial"/>
          <w:b/>
          <w:bCs/>
          <w:color w:val="auto"/>
          <w:kern w:val="2"/>
          <w:szCs w:val="22"/>
          <w:lang w:val="en-US"/>
          <w14:ligatures w14:val="standardContextual"/>
        </w:rPr>
        <w:t>Because you can’t manage a risk you can’t see.</w:t>
      </w:r>
    </w:p>
    <w:p w14:paraId="78D97ED3" w14:textId="77777777" w:rsidR="00F76F97" w:rsidRPr="00F76F97" w:rsidRDefault="00F76F97" w:rsidP="00F76F97">
      <w:pPr>
        <w:spacing w:after="160" w:line="278" w:lineRule="auto"/>
        <w:rPr>
          <w:rFonts w:eastAsia="Aptos" w:cs="Arial"/>
          <w:b/>
          <w:bCs/>
          <w:color w:val="auto"/>
          <w:kern w:val="2"/>
          <w:szCs w:val="22"/>
          <w:lang w:val="en-US"/>
          <w14:ligatures w14:val="standardContextual"/>
        </w:rPr>
      </w:pPr>
      <w:r w:rsidRPr="00F76F97">
        <w:rPr>
          <w:rFonts w:eastAsia="Aptos" w:cs="Arial"/>
          <w:b/>
          <w:bCs/>
          <w:color w:val="auto"/>
          <w:kern w:val="2"/>
          <w:szCs w:val="22"/>
          <w:lang w:val="en-US"/>
          <w14:ligatures w14:val="standardContextual"/>
        </w:rPr>
        <w:br w:type="page"/>
      </w:r>
    </w:p>
    <w:p w14:paraId="1E0851D1" w14:textId="77777777" w:rsidR="00F76F97" w:rsidRPr="00EE36E0" w:rsidRDefault="00F76F97" w:rsidP="00F76F97">
      <w:pPr>
        <w:jc w:val="both"/>
        <w:rPr>
          <w:rFonts w:cs="Arial"/>
          <w:b/>
          <w:bCs/>
          <w:szCs w:val="22"/>
        </w:rPr>
      </w:pPr>
    </w:p>
    <w:p w14:paraId="6D36F7D9" w14:textId="77777777" w:rsidR="00F76F97" w:rsidRDefault="00F76F97" w:rsidP="00F76F97">
      <w:pPr>
        <w:spacing w:line="278" w:lineRule="auto"/>
        <w:jc w:val="both"/>
        <w:rPr>
          <w:rFonts w:eastAsia="Aptos" w:cs="Arial"/>
          <w:b/>
          <w:bCs/>
          <w:color w:val="auto"/>
          <w:kern w:val="2"/>
          <w:szCs w:val="22"/>
          <w:lang w:val="en-US"/>
          <w14:ligatures w14:val="standardContextual"/>
        </w:rPr>
      </w:pPr>
      <w:r w:rsidRPr="00F76F97">
        <w:rPr>
          <w:rFonts w:eastAsia="Aptos" w:cs="Arial"/>
          <w:b/>
          <w:bCs/>
          <w:color w:val="auto"/>
          <w:kern w:val="2"/>
          <w:szCs w:val="22"/>
          <w:lang w:val="en-US"/>
          <w14:ligatures w14:val="standardContextual"/>
        </w:rPr>
        <w:t>From Evaluation to Action</w:t>
      </w:r>
    </w:p>
    <w:p w14:paraId="3B90B7A1" w14:textId="77777777" w:rsidR="00F76F97" w:rsidRPr="00F76F97" w:rsidRDefault="00F76F97" w:rsidP="00F76F97">
      <w:pPr>
        <w:spacing w:line="278" w:lineRule="auto"/>
        <w:jc w:val="both"/>
        <w:rPr>
          <w:rFonts w:eastAsia="Aptos" w:cs="Arial"/>
          <w:b/>
          <w:bCs/>
          <w:color w:val="auto"/>
          <w:kern w:val="2"/>
          <w:szCs w:val="22"/>
          <w:lang w:val="en-US"/>
          <w14:ligatures w14:val="standardContextual"/>
        </w:rPr>
      </w:pPr>
    </w:p>
    <w:p w14:paraId="70CF2A27" w14:textId="77777777" w:rsidR="00F76F97" w:rsidRPr="00F76F97" w:rsidRDefault="00F76F97" w:rsidP="00F76F97">
      <w:pPr>
        <w:spacing w:line="278" w:lineRule="auto"/>
        <w:jc w:val="both"/>
        <w:rPr>
          <w:rFonts w:eastAsia="Aptos" w:cs="Arial"/>
          <w:b/>
          <w:bCs/>
          <w:color w:val="auto"/>
          <w:kern w:val="2"/>
          <w:sz w:val="18"/>
          <w:szCs w:val="18"/>
          <w:lang w:val="en-US"/>
          <w14:ligatures w14:val="standardContextual"/>
        </w:rPr>
      </w:pPr>
      <w:r w:rsidRPr="00F76F97">
        <w:rPr>
          <w:rFonts w:eastAsia="Aptos" w:cs="Arial"/>
          <w:b/>
          <w:bCs/>
          <w:color w:val="auto"/>
          <w:kern w:val="2"/>
          <w:sz w:val="18"/>
          <w:szCs w:val="18"/>
          <w:lang w:val="en-US"/>
          <w14:ligatures w14:val="standardContextual"/>
        </w:rPr>
        <w:t>Using SBCI’s Leading Practices to Strengthen Workers’ Compensation, Workplace Support and Health &amp; Safety Programs</w:t>
      </w:r>
    </w:p>
    <w:p w14:paraId="569110C7" w14:textId="77777777" w:rsidR="00F76F97" w:rsidRPr="00F76F97" w:rsidRDefault="00F76F97" w:rsidP="00F76F97">
      <w:pPr>
        <w:spacing w:line="278" w:lineRule="auto"/>
        <w:jc w:val="both"/>
        <w:rPr>
          <w:rFonts w:eastAsia="Aptos" w:cs="Arial"/>
          <w:b/>
          <w:bCs/>
          <w:color w:val="auto"/>
          <w:kern w:val="2"/>
          <w:szCs w:val="22"/>
          <w:lang w:val="en-US"/>
          <w14:ligatures w14:val="standardContextual"/>
        </w:rPr>
      </w:pPr>
    </w:p>
    <w:p w14:paraId="163D90D1"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What if you could step back from individual programs and see the whole picture of how your Board is managing absence, injury, disability, health and safety, and employee well-being?</w:t>
      </w:r>
    </w:p>
    <w:p w14:paraId="52E95254"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This session will explore how school boards can use SBCI’s Leading Practices to conduct a comprehensive evaluation of their Worker’s Compensation, Workplace Support Services and Health &amp; Safety programs, identify where the system is working well, and uncover the gaps, duplication and missed opportunities that may be affecting outcomes and driving unnecessary costs.</w:t>
      </w:r>
    </w:p>
    <w:p w14:paraId="5C084764"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Rather than looking at WCB, Workplace Support and Health &amp; Safety as separate functions, the evaluation looks at how well these programs work together as a system. It asks the questions that matter to leaders:</w:t>
      </w:r>
    </w:p>
    <w:p w14:paraId="44A7B03A"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b/>
          <w:bCs/>
          <w:color w:val="auto"/>
          <w:kern w:val="2"/>
          <w:szCs w:val="22"/>
          <w:lang w:val="en-US"/>
          <w14:ligatures w14:val="standardContextual"/>
        </w:rPr>
        <w:t>Do we have senior leadership buy in, culture, strategy, policies, resources, data and case management practices in place? Are our programs effective and well-integrated? Are we using our data to identify opportunities for prevention and early intervention? And most importantly, are all these pieces working together to deliver comprehensive programming?</w:t>
      </w:r>
    </w:p>
    <w:p w14:paraId="7020864C"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 xml:space="preserve">Leading Practices </w:t>
      </w:r>
      <w:proofErr w:type="gramStart"/>
      <w:r w:rsidRPr="00F76F97">
        <w:rPr>
          <w:rFonts w:eastAsia="Aptos" w:cs="Arial"/>
          <w:color w:val="auto"/>
          <w:kern w:val="2"/>
          <w:szCs w:val="22"/>
          <w:lang w:val="en-US"/>
          <w14:ligatures w14:val="standardContextual"/>
        </w:rPr>
        <w:t>provide</w:t>
      </w:r>
      <w:proofErr w:type="gramEnd"/>
      <w:r w:rsidRPr="00F76F97">
        <w:rPr>
          <w:rFonts w:eastAsia="Aptos" w:cs="Arial"/>
          <w:color w:val="auto"/>
          <w:kern w:val="2"/>
          <w:szCs w:val="22"/>
          <w:lang w:val="en-US"/>
          <w14:ligatures w14:val="standardContextual"/>
        </w:rPr>
        <w:t xml:space="preserve"> a practical framework for answering those questions. The evaluation gives leaders a clear picture of where their programs are today, where the gaps and opportunities exist, and where investments in prevention, early intervention, case management and program effectiveness could have the greatest impact on outcomes and costs.</w:t>
      </w:r>
    </w:p>
    <w:p w14:paraId="2ACCFAA9" w14:textId="77777777" w:rsidR="00F76F97" w:rsidRP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 xml:space="preserve">Ultimately, this is about moving from managing individual programs to managing the </w:t>
      </w:r>
      <w:proofErr w:type="gramStart"/>
      <w:r w:rsidRPr="00F76F97">
        <w:rPr>
          <w:rFonts w:eastAsia="Aptos" w:cs="Arial"/>
          <w:color w:val="auto"/>
          <w:kern w:val="2"/>
          <w:szCs w:val="22"/>
          <w:lang w:val="en-US"/>
          <w14:ligatures w14:val="standardContextual"/>
        </w:rPr>
        <w:t>system as a whole</w:t>
      </w:r>
      <w:proofErr w:type="gramEnd"/>
      <w:r w:rsidRPr="00F76F97">
        <w:rPr>
          <w:rFonts w:eastAsia="Aptos" w:cs="Arial"/>
          <w:color w:val="auto"/>
          <w:kern w:val="2"/>
          <w:szCs w:val="22"/>
          <w:lang w:val="en-US"/>
          <w14:ligatures w14:val="standardContextual"/>
        </w:rPr>
        <w:t>.</w:t>
      </w:r>
    </w:p>
    <w:p w14:paraId="14B8F259" w14:textId="77777777" w:rsidR="00F76F97" w:rsidRDefault="00F76F97" w:rsidP="00F76F97">
      <w:pPr>
        <w:spacing w:after="160" w:line="278" w:lineRule="auto"/>
        <w:jc w:val="both"/>
        <w:rPr>
          <w:rFonts w:eastAsia="Aptos" w:cs="Arial"/>
          <w:color w:val="auto"/>
          <w:kern w:val="2"/>
          <w:szCs w:val="22"/>
          <w:lang w:val="en-US"/>
          <w14:ligatures w14:val="standardContextual"/>
        </w:rPr>
      </w:pPr>
      <w:r w:rsidRPr="00F76F97">
        <w:rPr>
          <w:rFonts w:eastAsia="Aptos" w:cs="Arial"/>
          <w:color w:val="auto"/>
          <w:kern w:val="2"/>
          <w:szCs w:val="22"/>
          <w:lang w:val="en-US"/>
          <w14:ligatures w14:val="standardContextual"/>
        </w:rPr>
        <w:t>Comprehensive programming means having preventative measures in place, as well as the right support to promote employee health and well-being, intervene early when concerns arise, and effectively manage absence, injury and disability when they occur. When these pieces work together, Boards can improve employee outcomes, support student success and, importantly, identify meaningful opportunities to reduce the significant costs associated with absenteeism.</w:t>
      </w:r>
    </w:p>
    <w:p w14:paraId="42391E30" w14:textId="77777777" w:rsidR="00252AB8" w:rsidRPr="00F76F97" w:rsidRDefault="00252AB8" w:rsidP="00F76F97">
      <w:pPr>
        <w:spacing w:after="160" w:line="278" w:lineRule="auto"/>
        <w:jc w:val="both"/>
        <w:rPr>
          <w:rFonts w:eastAsia="Aptos" w:cs="Arial"/>
          <w:color w:val="auto"/>
          <w:kern w:val="2"/>
          <w:szCs w:val="22"/>
          <w:lang w:val="en-US"/>
          <w14:ligatures w14:val="standardContextual"/>
        </w:rPr>
      </w:pPr>
    </w:p>
    <w:p w14:paraId="08593380" w14:textId="77777777" w:rsidR="00252AB8" w:rsidRDefault="00252AB8" w:rsidP="00E05878">
      <w:pPr>
        <w:spacing w:after="160" w:line="259" w:lineRule="auto"/>
        <w:rPr>
          <w:rFonts w:cs="Arial"/>
          <w:szCs w:val="22"/>
        </w:rPr>
      </w:pPr>
    </w:p>
    <w:p w14:paraId="6B23D341" w14:textId="02E0E260" w:rsidR="003E3E4A" w:rsidRDefault="00252AB8" w:rsidP="00E05878">
      <w:pPr>
        <w:spacing w:after="160" w:line="259" w:lineRule="auto"/>
        <w:rPr>
          <w:rFonts w:eastAsia="Aptos" w:cs="Arial"/>
          <w:b/>
          <w:bCs/>
          <w:color w:val="auto"/>
          <w:kern w:val="2"/>
          <w:szCs w:val="22"/>
          <w:lang w:val="en-US"/>
          <w14:ligatures w14:val="standardContextual"/>
        </w:rPr>
      </w:pPr>
      <w:r w:rsidRPr="00252AB8">
        <w:rPr>
          <w:rFonts w:eastAsia="Aptos" w:cs="Arial"/>
          <w:b/>
          <w:bCs/>
          <w:color w:val="auto"/>
          <w:kern w:val="2"/>
          <w:szCs w:val="22"/>
          <w:lang w:val="en-US"/>
          <w14:ligatures w14:val="standardContextual"/>
        </w:rPr>
        <w:t>Legal/governance considerations for employers when implementing Psychological Health and Safety Programs/Policies</w:t>
      </w:r>
    </w:p>
    <w:p w14:paraId="192412D7" w14:textId="77777777" w:rsidR="00252AB8" w:rsidRPr="00252AB8" w:rsidRDefault="00252AB8" w:rsidP="00252AB8">
      <w:pPr>
        <w:rPr>
          <w:rFonts w:eastAsia="Aptos" w:cs="Arial"/>
          <w:color w:val="auto"/>
          <w:kern w:val="2"/>
          <w:szCs w:val="22"/>
          <w:lang w:val="en-US"/>
          <w14:ligatures w14:val="standardContextual"/>
        </w:rPr>
      </w:pPr>
      <w:r w:rsidRPr="00252AB8">
        <w:rPr>
          <w:rFonts w:eastAsia="Aptos" w:cs="Arial"/>
          <w:color w:val="auto"/>
          <w:kern w:val="2"/>
          <w:szCs w:val="22"/>
          <w:lang w:val="en-US"/>
          <w14:ligatures w14:val="standardContextual"/>
        </w:rPr>
        <w:t>This presentation will explore employee wellbeing as the foundation for student success through four key themes: legislative obligations, implementation, governance, and student outcomes. It will explore: (</w:t>
      </w:r>
      <w:proofErr w:type="spellStart"/>
      <w:r w:rsidRPr="00252AB8">
        <w:rPr>
          <w:rFonts w:eastAsia="Aptos" w:cs="Arial"/>
          <w:color w:val="auto"/>
          <w:kern w:val="2"/>
          <w:szCs w:val="22"/>
          <w:lang w:val="en-US"/>
          <w14:ligatures w14:val="standardContextual"/>
        </w:rPr>
        <w:t>i</w:t>
      </w:r>
      <w:proofErr w:type="spellEnd"/>
      <w:r w:rsidRPr="00252AB8">
        <w:rPr>
          <w:rFonts w:eastAsia="Aptos" w:cs="Arial"/>
          <w:color w:val="auto"/>
          <w:kern w:val="2"/>
          <w:szCs w:val="22"/>
          <w:lang w:val="en-US"/>
          <w14:ligatures w14:val="standardContextual"/>
        </w:rPr>
        <w:t>) employers’ obligations relating to workplace mental health, harassment, accommodation, and disability management; (ii) how to implement effective psychological health and safety programs, including risk assessments, policies, training, and reporting processes; and (iii) the role of senior leadership and boards in oversight, accountability, and organizational culture. The session will also examine how employee wellbeing affects the ability of educators and staff to deliver positive outcomes for students. The presentation will provide actionable strategies to strengthen workplace wellbeing while supporting student success.</w:t>
      </w:r>
    </w:p>
    <w:p w14:paraId="1DA951C8" w14:textId="77777777" w:rsidR="00252AB8" w:rsidRPr="00252AB8" w:rsidRDefault="00252AB8" w:rsidP="00E05878">
      <w:pPr>
        <w:spacing w:after="160" w:line="259" w:lineRule="auto"/>
        <w:rPr>
          <w:rFonts w:eastAsia="Aptos" w:cs="Arial"/>
          <w:b/>
          <w:bCs/>
          <w:color w:val="auto"/>
          <w:kern w:val="2"/>
          <w:szCs w:val="22"/>
          <w:lang w:val="en-US"/>
          <w14:ligatures w14:val="standardContextual"/>
        </w:rPr>
      </w:pPr>
    </w:p>
    <w:sectPr w:rsidR="00252AB8" w:rsidRPr="00252AB8" w:rsidSect="002D5517">
      <w:headerReference w:type="even" r:id="rId7"/>
      <w:headerReference w:type="default" r:id="rId8"/>
      <w:footerReference w:type="even" r:id="rId9"/>
      <w:footerReference w:type="default" r:id="rId10"/>
      <w:headerReference w:type="first" r:id="rId11"/>
      <w:footerReference w:type="first" r:id="rId12"/>
      <w:pgSz w:w="12240" w:h="15840"/>
      <w:pgMar w:top="3600"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880C4" w14:textId="77777777" w:rsidR="00F10AB8" w:rsidRDefault="00F10AB8" w:rsidP="006C6AB9">
      <w:r>
        <w:separator/>
      </w:r>
    </w:p>
  </w:endnote>
  <w:endnote w:type="continuationSeparator" w:id="0">
    <w:p w14:paraId="4F8F78E1" w14:textId="77777777" w:rsidR="00F10AB8" w:rsidRDefault="00F10AB8" w:rsidP="006C6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altName w:val="Poppins"/>
    <w:charset w:val="00"/>
    <w:family w:val="auto"/>
    <w:pitch w:val="variable"/>
    <w:sig w:usb0="00008007" w:usb1="00000000" w:usb2="00000000" w:usb3="00000000" w:csb0="00000093" w:csb1="00000000"/>
  </w:font>
  <w:font w:name="SegoeUI-Light">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9703424"/>
      <w:docPartObj>
        <w:docPartGallery w:val="Page Numbers (Bottom of Page)"/>
        <w:docPartUnique/>
      </w:docPartObj>
    </w:sdtPr>
    <w:sdtEndPr>
      <w:rPr>
        <w:rStyle w:val="PageNumber"/>
      </w:rPr>
    </w:sdtEndPr>
    <w:sdtContent>
      <w:p w14:paraId="21D92CFC" w14:textId="3C5661F1" w:rsidR="00C32D95" w:rsidRDefault="00C32D95" w:rsidP="000875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6B6C84" w14:textId="54C6AFAB" w:rsidR="002E1479" w:rsidRDefault="002E1479" w:rsidP="00C32D95">
    <w:pPr>
      <w:pStyle w:val="Footer"/>
      <w:ind w:right="360"/>
      <w:rPr>
        <w:rStyle w:val="PageNumber"/>
      </w:rPr>
    </w:pPr>
  </w:p>
  <w:p w14:paraId="7C905189" w14:textId="77777777" w:rsidR="002E1479" w:rsidRDefault="002E1479" w:rsidP="006C6A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8DB03E"/>
      </w:rPr>
      <w:id w:val="1629978009"/>
      <w:docPartObj>
        <w:docPartGallery w:val="Page Numbers (Bottom of Page)"/>
        <w:docPartUnique/>
      </w:docPartObj>
    </w:sdtPr>
    <w:sdtEndPr>
      <w:rPr>
        <w:rStyle w:val="PageNumber"/>
      </w:rPr>
    </w:sdtEndPr>
    <w:sdtContent>
      <w:p w14:paraId="6BD26E45" w14:textId="0940E868" w:rsidR="00C32D95" w:rsidRPr="00C32D95" w:rsidRDefault="00C32D95" w:rsidP="002D5517">
        <w:pPr>
          <w:pStyle w:val="Footer"/>
          <w:framePr w:wrap="none" w:vAnchor="text" w:hAnchor="page" w:x="11266" w:y="224"/>
          <w:jc w:val="center"/>
          <w:rPr>
            <w:rStyle w:val="PageNumber"/>
            <w:color w:val="8DB03E"/>
          </w:rPr>
        </w:pPr>
        <w:r w:rsidRPr="00C32D95">
          <w:rPr>
            <w:rStyle w:val="PageNumber"/>
            <w:color w:val="8DB03E"/>
          </w:rPr>
          <w:fldChar w:fldCharType="begin"/>
        </w:r>
        <w:r w:rsidRPr="00C32D95">
          <w:rPr>
            <w:rStyle w:val="PageNumber"/>
            <w:color w:val="8DB03E"/>
          </w:rPr>
          <w:instrText xml:space="preserve"> PAGE </w:instrText>
        </w:r>
        <w:r w:rsidRPr="00C32D95">
          <w:rPr>
            <w:rStyle w:val="PageNumber"/>
            <w:color w:val="8DB03E"/>
          </w:rPr>
          <w:fldChar w:fldCharType="separate"/>
        </w:r>
        <w:r w:rsidRPr="00C32D95">
          <w:rPr>
            <w:rStyle w:val="PageNumber"/>
            <w:noProof/>
            <w:color w:val="8DB03E"/>
          </w:rPr>
          <w:t>1</w:t>
        </w:r>
        <w:r w:rsidRPr="00C32D95">
          <w:rPr>
            <w:rStyle w:val="PageNumber"/>
            <w:color w:val="8DB03E"/>
          </w:rPr>
          <w:fldChar w:fldCharType="end"/>
        </w:r>
      </w:p>
    </w:sdtContent>
  </w:sdt>
  <w:sdt>
    <w:sdtPr>
      <w:rPr>
        <w:rStyle w:val="PageNumber"/>
        <w:color w:val="8DB03E"/>
      </w:rPr>
      <w:id w:val="-1781561812"/>
      <w:docPartObj>
        <w:docPartGallery w:val="Page Numbers (Bottom of Page)"/>
        <w:docPartUnique/>
      </w:docPartObj>
    </w:sdtPr>
    <w:sdtEndPr>
      <w:rPr>
        <w:rStyle w:val="PageNumber"/>
      </w:rPr>
    </w:sdtEndPr>
    <w:sdtContent>
      <w:p w14:paraId="4D82F8DA" w14:textId="4889D2D0" w:rsidR="00C32D95" w:rsidRDefault="000C11AB" w:rsidP="00D5212C">
        <w:pPr>
          <w:pStyle w:val="Footer"/>
          <w:ind w:right="360"/>
          <w:jc w:val="center"/>
          <w:rPr>
            <w:rStyle w:val="PageNumber"/>
            <w:color w:val="8DB03E"/>
          </w:rPr>
        </w:pPr>
        <w:r>
          <w:rPr>
            <w:b/>
            <w:noProof/>
            <w:color w:val="8DB03E"/>
          </w:rPr>
          <mc:AlternateContent>
            <mc:Choice Requires="wps">
              <w:drawing>
                <wp:anchor distT="0" distB="0" distL="114300" distR="114300" simplePos="0" relativeHeight="251657215" behindDoc="1" locked="0" layoutInCell="1" allowOverlap="1" wp14:anchorId="25FC331E" wp14:editId="09B926BA">
                  <wp:simplePos x="0" y="0"/>
                  <wp:positionH relativeFrom="page">
                    <wp:align>left</wp:align>
                  </wp:positionH>
                  <wp:positionV relativeFrom="paragraph">
                    <wp:posOffset>-20321</wp:posOffset>
                  </wp:positionV>
                  <wp:extent cx="7762240" cy="962025"/>
                  <wp:effectExtent l="0" t="0" r="0" b="9525"/>
                  <wp:wrapNone/>
                  <wp:docPr id="6" name="Rectangle 6"/>
                  <wp:cNvGraphicFramePr/>
                  <a:graphic xmlns:a="http://schemas.openxmlformats.org/drawingml/2006/main">
                    <a:graphicData uri="http://schemas.microsoft.com/office/word/2010/wordprocessingShape">
                      <wps:wsp>
                        <wps:cNvSpPr/>
                        <wps:spPr>
                          <a:xfrm>
                            <a:off x="0" y="0"/>
                            <a:ext cx="7762240" cy="962025"/>
                          </a:xfrm>
                          <a:prstGeom prst="rect">
                            <a:avLst/>
                          </a:prstGeom>
                          <a:solidFill>
                            <a:srgbClr val="F3F5F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C37054" w14:textId="77777777" w:rsidR="007A438E" w:rsidRDefault="007A438E" w:rsidP="007A43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C331E" id="Rectangle 6" o:spid="_x0000_s1029" style="position:absolute;left:0;text-align:left;margin-left:0;margin-top:-1.6pt;width:611.2pt;height:75.75pt;z-index:-25165926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" fillcolor="#f3f5f4" stroked="f" strokeweight="1pt">
                  <v:textbox>
                    <w:txbxContent>
                      <w:p w14:paraId="69C37054" w14:textId="77777777" w:rsidR="007A438E" w:rsidRDefault="007A438E" w:rsidP="007A438E">
                        <w:pPr>
                          <w:jc w:val="center"/>
                        </w:pPr>
                      </w:p>
                    </w:txbxContent>
                  </v:textbox>
                  <w10:wrap anchorx="page"/>
                </v:rect>
              </w:pict>
            </mc:Fallback>
          </mc:AlternateContent>
        </w:r>
      </w:p>
      <w:p w14:paraId="7CBA6BEC" w14:textId="13583B66" w:rsidR="002E1479" w:rsidRPr="002E1479" w:rsidRDefault="002D5517" w:rsidP="00D5212C">
        <w:pPr>
          <w:pStyle w:val="Footer"/>
          <w:jc w:val="center"/>
          <w:rPr>
            <w:rStyle w:val="PageNumber"/>
            <w:color w:val="8DB03E"/>
          </w:rPr>
        </w:pPr>
        <w:r>
          <w:rPr>
            <w:b/>
            <w:noProof/>
            <w:color w:val="8DB03E"/>
          </w:rPr>
          <mc:AlternateContent>
            <mc:Choice Requires="wps">
              <w:drawing>
                <wp:anchor distT="0" distB="0" distL="114300" distR="114300" simplePos="0" relativeHeight="251656190" behindDoc="0" locked="0" layoutInCell="1" allowOverlap="1" wp14:anchorId="0FFBC91C" wp14:editId="40D7C9B3">
                  <wp:simplePos x="0" y="0"/>
                  <wp:positionH relativeFrom="margin">
                    <wp:align>right</wp:align>
                  </wp:positionH>
                  <wp:positionV relativeFrom="paragraph">
                    <wp:posOffset>9525</wp:posOffset>
                  </wp:positionV>
                  <wp:extent cx="5943600" cy="895350"/>
                  <wp:effectExtent l="0" t="0" r="0" b="0"/>
                  <wp:wrapNone/>
                  <wp:docPr id="7" name="Text Box 7"/>
                  <wp:cNvGraphicFramePr/>
                  <a:graphic xmlns:a="http://schemas.openxmlformats.org/drawingml/2006/main">
                    <a:graphicData uri="http://schemas.microsoft.com/office/word/2010/wordprocessingShape">
                      <wps:wsp>
                        <wps:cNvSpPr txBox="1"/>
                        <wps:spPr>
                          <a:xfrm>
                            <a:off x="0" y="0"/>
                            <a:ext cx="5943600" cy="895350"/>
                          </a:xfrm>
                          <a:prstGeom prst="rect">
                            <a:avLst/>
                          </a:prstGeom>
                          <a:noFill/>
                          <a:ln w="6350">
                            <a:noFill/>
                          </a:ln>
                        </wps:spPr>
                        <wps:txbx>
                          <w:txbxContent>
                            <w:p w14:paraId="6D1B02E2" w14:textId="1B941DF3" w:rsidR="002C77F0" w:rsidRDefault="002C77F0" w:rsidP="006C7986">
                              <w:pPr>
                                <w:contextualSpacing/>
                                <w:jc w:val="center"/>
                                <w:rPr>
                                  <w:rFonts w:eastAsia="Times New Roman" w:cs="Arial"/>
                                  <w:sz w:val="18"/>
                                  <w:szCs w:val="18"/>
                                </w:rPr>
                              </w:pPr>
                              <w:r w:rsidRPr="00AB2C90">
                                <w:rPr>
                                  <w:rFonts w:eastAsia="Times New Roman" w:cs="Arial"/>
                                  <w:b/>
                                  <w:bCs/>
                                  <w:sz w:val="21"/>
                                  <w:szCs w:val="21"/>
                                </w:rPr>
                                <w:t>55 Commerce Valley Drive W., Suite 250</w:t>
                              </w:r>
                              <w:r w:rsidR="0040730C">
                                <w:rPr>
                                  <w:rFonts w:eastAsia="Times New Roman" w:cs="Arial"/>
                                  <w:b/>
                                  <w:bCs/>
                                  <w:sz w:val="21"/>
                                  <w:szCs w:val="21"/>
                                </w:rPr>
                                <w:t>,</w:t>
                              </w:r>
                              <w:r w:rsidRPr="00AB2C90">
                                <w:rPr>
                                  <w:rFonts w:eastAsia="Times New Roman" w:cs="Arial"/>
                                  <w:b/>
                                  <w:bCs/>
                                  <w:sz w:val="21"/>
                                  <w:szCs w:val="21"/>
                                </w:rPr>
                                <w:t xml:space="preserve"> Markham, ON L3T 7V9</w:t>
                              </w:r>
                              <w:r w:rsidR="002D5517">
                                <w:rPr>
                                  <w:rFonts w:eastAsia="Times New Roman" w:cs="Arial"/>
                                  <w:b/>
                                  <w:bCs/>
                                  <w:sz w:val="21"/>
                                  <w:szCs w:val="21"/>
                                </w:rPr>
                                <w:br/>
                              </w:r>
                              <w:proofErr w:type="spellStart"/>
                              <w:r w:rsidRPr="002C77F0">
                                <w:rPr>
                                  <w:rFonts w:eastAsia="Times New Roman" w:cs="Arial"/>
                                  <w:b/>
                                  <w:bCs/>
                                  <w:sz w:val="16"/>
                                  <w:szCs w:val="16"/>
                                </w:rPr>
                                <w:t>tel</w:t>
                              </w:r>
                              <w:proofErr w:type="spellEnd"/>
                              <w:r w:rsidRPr="002C77F0">
                                <w:rPr>
                                  <w:rFonts w:eastAsia="Times New Roman" w:cs="Arial"/>
                                  <w:sz w:val="21"/>
                                  <w:szCs w:val="21"/>
                                </w:rPr>
                                <w:t xml:space="preserve"> </w:t>
                              </w:r>
                              <w:r w:rsidRPr="002C77F0">
                                <w:rPr>
                                  <w:rFonts w:eastAsia="Times New Roman" w:cs="Arial"/>
                                  <w:sz w:val="18"/>
                                  <w:szCs w:val="18"/>
                                </w:rPr>
                                <w:t xml:space="preserve">(905) 669-4449  </w:t>
                              </w:r>
                              <w:r>
                                <w:rPr>
                                  <w:rFonts w:eastAsia="Times New Roman" w:cs="Arial"/>
                                  <w:sz w:val="18"/>
                                  <w:szCs w:val="18"/>
                                </w:rPr>
                                <w:t xml:space="preserve">   </w:t>
                              </w:r>
                              <w:r w:rsidRPr="002C77F0">
                                <w:rPr>
                                  <w:rFonts w:eastAsia="Times New Roman" w:cs="Arial"/>
                                  <w:sz w:val="18"/>
                                  <w:szCs w:val="18"/>
                                </w:rPr>
                                <w:t xml:space="preserve">  </w:t>
                              </w:r>
                              <w:r w:rsidRPr="002C77F0">
                                <w:rPr>
                                  <w:rFonts w:eastAsia="Times New Roman" w:cs="Arial"/>
                                  <w:b/>
                                  <w:bCs/>
                                  <w:sz w:val="16"/>
                                  <w:szCs w:val="16"/>
                                </w:rPr>
                                <w:t>toll free</w:t>
                              </w:r>
                              <w:r w:rsidRPr="002C77F0">
                                <w:rPr>
                                  <w:rFonts w:eastAsia="Times New Roman" w:cs="Arial"/>
                                  <w:b/>
                                  <w:bCs/>
                                  <w:i/>
                                  <w:iCs/>
                                  <w:sz w:val="16"/>
                                  <w:szCs w:val="16"/>
                                </w:rPr>
                                <w:t xml:space="preserve"> </w:t>
                              </w:r>
                              <w:r w:rsidRPr="002C77F0">
                                <w:rPr>
                                  <w:rFonts w:eastAsia="Times New Roman" w:cs="Arial"/>
                                  <w:sz w:val="18"/>
                                  <w:szCs w:val="18"/>
                                </w:rPr>
                                <w:t>(800) 361-3516</w:t>
                              </w:r>
                              <w:r>
                                <w:rPr>
                                  <w:rFonts w:eastAsia="Times New Roman" w:cs="Arial"/>
                                  <w:sz w:val="18"/>
                                  <w:szCs w:val="18"/>
                                </w:rPr>
                                <w:t xml:space="preserve"> </w:t>
                              </w:r>
                              <w:r w:rsidRPr="002C77F0">
                                <w:rPr>
                                  <w:rFonts w:eastAsia="Times New Roman" w:cs="Arial"/>
                                  <w:sz w:val="18"/>
                                  <w:szCs w:val="18"/>
                                </w:rPr>
                                <w:t xml:space="preserve"> </w:t>
                              </w:r>
                              <w:r>
                                <w:rPr>
                                  <w:rFonts w:eastAsia="Times New Roman" w:cs="Arial"/>
                                  <w:sz w:val="18"/>
                                  <w:szCs w:val="18"/>
                                </w:rPr>
                                <w:t xml:space="preserve"> </w:t>
                              </w:r>
                              <w:r w:rsidRPr="002C77F0">
                                <w:rPr>
                                  <w:rFonts w:eastAsia="Times New Roman" w:cs="Arial"/>
                                  <w:sz w:val="18"/>
                                  <w:szCs w:val="18"/>
                                </w:rPr>
                                <w:t xml:space="preserve">   </w:t>
                              </w:r>
                              <w:r w:rsidRPr="002C77F0">
                                <w:rPr>
                                  <w:rFonts w:eastAsia="Times New Roman" w:cs="Arial"/>
                                  <w:b/>
                                  <w:bCs/>
                                  <w:sz w:val="16"/>
                                  <w:szCs w:val="16"/>
                                </w:rPr>
                                <w:t>fax</w:t>
                              </w:r>
                              <w:r w:rsidRPr="002C77F0">
                                <w:rPr>
                                  <w:rFonts w:eastAsia="Times New Roman" w:cs="Arial"/>
                                  <w:b/>
                                  <w:bCs/>
                                  <w:i/>
                                  <w:iCs/>
                                  <w:sz w:val="18"/>
                                  <w:szCs w:val="18"/>
                                </w:rPr>
                                <w:t xml:space="preserve"> </w:t>
                              </w:r>
                              <w:r w:rsidRPr="002C77F0">
                                <w:rPr>
                                  <w:rFonts w:eastAsia="Times New Roman" w:cs="Arial"/>
                                  <w:sz w:val="18"/>
                                  <w:szCs w:val="18"/>
                                </w:rPr>
                                <w:t>(905) 669-9810</w:t>
                              </w:r>
                              <w:r w:rsidRPr="002C77F0">
                                <w:rPr>
                                  <w:rFonts w:eastAsia="Times New Roman" w:cs="Arial"/>
                                  <w:sz w:val="20"/>
                                  <w:szCs w:val="20"/>
                                </w:rPr>
                                <w:t xml:space="preserve">  </w:t>
                              </w:r>
                              <w:r>
                                <w:rPr>
                                  <w:rFonts w:eastAsia="Times New Roman" w:cs="Arial"/>
                                  <w:sz w:val="20"/>
                                  <w:szCs w:val="20"/>
                                </w:rPr>
                                <w:t xml:space="preserve">    </w:t>
                              </w:r>
                              <w:r w:rsidRPr="002C77F0">
                                <w:rPr>
                                  <w:rFonts w:eastAsia="Times New Roman" w:cs="Arial"/>
                                  <w:sz w:val="20"/>
                                  <w:szCs w:val="20"/>
                                </w:rPr>
                                <w:t xml:space="preserve">  </w:t>
                              </w:r>
                              <w:r w:rsidRPr="002C77F0">
                                <w:rPr>
                                  <w:rFonts w:eastAsia="Times New Roman" w:cs="Arial"/>
                                  <w:b/>
                                  <w:bCs/>
                                  <w:sz w:val="16"/>
                                  <w:szCs w:val="16"/>
                                </w:rPr>
                                <w:t>toll free</w:t>
                              </w:r>
                              <w:r w:rsidRPr="002C77F0">
                                <w:rPr>
                                  <w:rFonts w:eastAsia="Times New Roman" w:cs="Arial"/>
                                  <w:b/>
                                  <w:bCs/>
                                  <w:i/>
                                  <w:iCs/>
                                  <w:sz w:val="16"/>
                                  <w:szCs w:val="16"/>
                                </w:rPr>
                                <w:t xml:space="preserve"> </w:t>
                              </w:r>
                              <w:r w:rsidRPr="002C77F0">
                                <w:rPr>
                                  <w:rFonts w:eastAsia="Times New Roman" w:cs="Arial"/>
                                  <w:sz w:val="18"/>
                                  <w:szCs w:val="18"/>
                                </w:rPr>
                                <w:t>(800) 363-5848</w:t>
                              </w:r>
                            </w:p>
                            <w:p w14:paraId="4A32455F" w14:textId="77777777" w:rsidR="006C7986" w:rsidRPr="002F5ADE" w:rsidRDefault="006C7986" w:rsidP="006C7986">
                              <w:pPr>
                                <w:spacing w:before="1"/>
                                <w:ind w:right="-46"/>
                                <w:jc w:val="center"/>
                                <w:rPr>
                                  <w:rFonts w:ascii="Cambria"/>
                                  <w:b/>
                                  <w:color w:val="0BA995"/>
                                  <w:sz w:val="20"/>
                                </w:rPr>
                              </w:pPr>
                              <w:hyperlink r:id="rId1" w:history="1">
                                <w:r w:rsidRPr="002F5ADE">
                                  <w:rPr>
                                    <w:rFonts w:ascii="Cambria"/>
                                    <w:b/>
                                    <w:color w:val="0BA995"/>
                                    <w:sz w:val="20"/>
                                  </w:rPr>
                                  <w:t>sbci.org</w:t>
                                </w:r>
                              </w:hyperlink>
                            </w:p>
                            <w:p w14:paraId="7FAF607D" w14:textId="77777777" w:rsidR="002D5517" w:rsidRPr="00AB2C90" w:rsidRDefault="002D5517" w:rsidP="006C7986">
                              <w:pPr>
                                <w:spacing w:line="480" w:lineRule="auto"/>
                                <w:jc w:val="center"/>
                                <w:rPr>
                                  <w:rFonts w:eastAsia="Times New Roman" w:cs="Arial"/>
                                  <w:b/>
                                  <w:bCs/>
                                  <w:sz w:val="24"/>
                                </w:rPr>
                              </w:pPr>
                            </w:p>
                            <w:p w14:paraId="6D49510C" w14:textId="77777777" w:rsidR="002D5517" w:rsidRPr="002C77F0" w:rsidRDefault="002D5517" w:rsidP="002D5517">
                              <w:pPr>
                                <w:spacing w:line="360" w:lineRule="auto"/>
                                <w:jc w:val="center"/>
                                <w:rPr>
                                  <w:rFonts w:eastAsia="Times New Roman" w:cs="Arial"/>
                                  <w:sz w:val="21"/>
                                  <w:szCs w:val="21"/>
                                </w:rPr>
                              </w:pP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BC91C" id="_x0000_t202" coordsize="21600,21600" o:spt="202" path="m,l,21600r21600,l21600,xe">
                  <v:stroke joinstyle="miter"/>
                  <v:path gradientshapeok="t" o:connecttype="rect"/>
                </v:shapetype>
                <v:shape id="Text Box 7" o:spid="_x0000_s1030" type="#_x0000_t202" style="position:absolute;left:0;text-align:left;margin-left:416.8pt;margin-top:.75pt;width:468pt;height:70.5pt;z-index:25165619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" filled="f" stroked="f" strokeweight=".5pt">
                  <v:textbox inset="0,0,0">
                    <w:txbxContent>
                      <w:p w14:paraId="6D1B02E2" w14:textId="1B941DF3" w:rsidR="002C77F0" w:rsidRDefault="002C77F0" w:rsidP="006C7986">
                        <w:pPr>
                          <w:contextualSpacing/>
                          <w:jc w:val="center"/>
                          <w:rPr>
                            <w:rFonts w:eastAsia="Times New Roman" w:cs="Arial"/>
                            <w:sz w:val="18"/>
                            <w:szCs w:val="18"/>
                          </w:rPr>
                        </w:pPr>
                        <w:r w:rsidRPr="00AB2C90">
                          <w:rPr>
                            <w:rFonts w:eastAsia="Times New Roman" w:cs="Arial"/>
                            <w:b/>
                            <w:bCs/>
                            <w:sz w:val="21"/>
                            <w:szCs w:val="21"/>
                          </w:rPr>
                          <w:t>55 Commerce Valley Drive W., Suite 250</w:t>
                        </w:r>
                        <w:r w:rsidR="0040730C">
                          <w:rPr>
                            <w:rFonts w:eastAsia="Times New Roman" w:cs="Arial"/>
                            <w:b/>
                            <w:bCs/>
                            <w:sz w:val="21"/>
                            <w:szCs w:val="21"/>
                          </w:rPr>
                          <w:t>,</w:t>
                        </w:r>
                        <w:r w:rsidRPr="00AB2C90">
                          <w:rPr>
                            <w:rFonts w:eastAsia="Times New Roman" w:cs="Arial"/>
                            <w:b/>
                            <w:bCs/>
                            <w:sz w:val="21"/>
                            <w:szCs w:val="21"/>
                          </w:rPr>
                          <w:t xml:space="preserve"> Markham, ON L3T 7V9</w:t>
                        </w:r>
                        <w:r w:rsidR="002D5517">
                          <w:rPr>
                            <w:rFonts w:eastAsia="Times New Roman" w:cs="Arial"/>
                            <w:b/>
                            <w:bCs/>
                            <w:sz w:val="21"/>
                            <w:szCs w:val="21"/>
                          </w:rPr>
                          <w:br/>
                        </w:r>
                        <w:proofErr w:type="spellStart"/>
                        <w:r w:rsidRPr="002C77F0">
                          <w:rPr>
                            <w:rFonts w:eastAsia="Times New Roman" w:cs="Arial"/>
                            <w:b/>
                            <w:bCs/>
                            <w:sz w:val="16"/>
                            <w:szCs w:val="16"/>
                          </w:rPr>
                          <w:t>tel</w:t>
                        </w:r>
                        <w:proofErr w:type="spellEnd"/>
                        <w:r w:rsidRPr="002C77F0">
                          <w:rPr>
                            <w:rFonts w:eastAsia="Times New Roman" w:cs="Arial"/>
                            <w:sz w:val="21"/>
                            <w:szCs w:val="21"/>
                          </w:rPr>
                          <w:t xml:space="preserve"> </w:t>
                        </w:r>
                        <w:r w:rsidRPr="002C77F0">
                          <w:rPr>
                            <w:rFonts w:eastAsia="Times New Roman" w:cs="Arial"/>
                            <w:sz w:val="18"/>
                            <w:szCs w:val="18"/>
                          </w:rPr>
                          <w:t xml:space="preserve">(905) 669-4449  </w:t>
                        </w:r>
                        <w:r>
                          <w:rPr>
                            <w:rFonts w:eastAsia="Times New Roman" w:cs="Arial"/>
                            <w:sz w:val="18"/>
                            <w:szCs w:val="18"/>
                          </w:rPr>
                          <w:t xml:space="preserve">   </w:t>
                        </w:r>
                        <w:r w:rsidRPr="002C77F0">
                          <w:rPr>
                            <w:rFonts w:eastAsia="Times New Roman" w:cs="Arial"/>
                            <w:sz w:val="18"/>
                            <w:szCs w:val="18"/>
                          </w:rPr>
                          <w:t xml:space="preserve">  </w:t>
                        </w:r>
                        <w:r w:rsidRPr="002C77F0">
                          <w:rPr>
                            <w:rFonts w:eastAsia="Times New Roman" w:cs="Arial"/>
                            <w:b/>
                            <w:bCs/>
                            <w:sz w:val="16"/>
                            <w:szCs w:val="16"/>
                          </w:rPr>
                          <w:t>toll free</w:t>
                        </w:r>
                        <w:r w:rsidRPr="002C77F0">
                          <w:rPr>
                            <w:rFonts w:eastAsia="Times New Roman" w:cs="Arial"/>
                            <w:b/>
                            <w:bCs/>
                            <w:i/>
                            <w:iCs/>
                            <w:sz w:val="16"/>
                            <w:szCs w:val="16"/>
                          </w:rPr>
                          <w:t xml:space="preserve"> </w:t>
                        </w:r>
                        <w:r w:rsidRPr="002C77F0">
                          <w:rPr>
                            <w:rFonts w:eastAsia="Times New Roman" w:cs="Arial"/>
                            <w:sz w:val="18"/>
                            <w:szCs w:val="18"/>
                          </w:rPr>
                          <w:t>(800) 361-3516</w:t>
                        </w:r>
                        <w:r>
                          <w:rPr>
                            <w:rFonts w:eastAsia="Times New Roman" w:cs="Arial"/>
                            <w:sz w:val="18"/>
                            <w:szCs w:val="18"/>
                          </w:rPr>
                          <w:t xml:space="preserve"> </w:t>
                        </w:r>
                        <w:r w:rsidRPr="002C77F0">
                          <w:rPr>
                            <w:rFonts w:eastAsia="Times New Roman" w:cs="Arial"/>
                            <w:sz w:val="18"/>
                            <w:szCs w:val="18"/>
                          </w:rPr>
                          <w:t xml:space="preserve"> </w:t>
                        </w:r>
                        <w:r>
                          <w:rPr>
                            <w:rFonts w:eastAsia="Times New Roman" w:cs="Arial"/>
                            <w:sz w:val="18"/>
                            <w:szCs w:val="18"/>
                          </w:rPr>
                          <w:t xml:space="preserve"> </w:t>
                        </w:r>
                        <w:r w:rsidRPr="002C77F0">
                          <w:rPr>
                            <w:rFonts w:eastAsia="Times New Roman" w:cs="Arial"/>
                            <w:sz w:val="18"/>
                            <w:szCs w:val="18"/>
                          </w:rPr>
                          <w:t xml:space="preserve">   </w:t>
                        </w:r>
                        <w:r w:rsidRPr="002C77F0">
                          <w:rPr>
                            <w:rFonts w:eastAsia="Times New Roman" w:cs="Arial"/>
                            <w:b/>
                            <w:bCs/>
                            <w:sz w:val="16"/>
                            <w:szCs w:val="16"/>
                          </w:rPr>
                          <w:t>fax</w:t>
                        </w:r>
                        <w:r w:rsidRPr="002C77F0">
                          <w:rPr>
                            <w:rFonts w:eastAsia="Times New Roman" w:cs="Arial"/>
                            <w:b/>
                            <w:bCs/>
                            <w:i/>
                            <w:iCs/>
                            <w:sz w:val="18"/>
                            <w:szCs w:val="18"/>
                          </w:rPr>
                          <w:t xml:space="preserve"> </w:t>
                        </w:r>
                        <w:r w:rsidRPr="002C77F0">
                          <w:rPr>
                            <w:rFonts w:eastAsia="Times New Roman" w:cs="Arial"/>
                            <w:sz w:val="18"/>
                            <w:szCs w:val="18"/>
                          </w:rPr>
                          <w:t>(905) 669-9810</w:t>
                        </w:r>
                        <w:r w:rsidRPr="002C77F0">
                          <w:rPr>
                            <w:rFonts w:eastAsia="Times New Roman" w:cs="Arial"/>
                            <w:sz w:val="20"/>
                            <w:szCs w:val="20"/>
                          </w:rPr>
                          <w:t xml:space="preserve">  </w:t>
                        </w:r>
                        <w:r>
                          <w:rPr>
                            <w:rFonts w:eastAsia="Times New Roman" w:cs="Arial"/>
                            <w:sz w:val="20"/>
                            <w:szCs w:val="20"/>
                          </w:rPr>
                          <w:t xml:space="preserve">    </w:t>
                        </w:r>
                        <w:r w:rsidRPr="002C77F0">
                          <w:rPr>
                            <w:rFonts w:eastAsia="Times New Roman" w:cs="Arial"/>
                            <w:sz w:val="20"/>
                            <w:szCs w:val="20"/>
                          </w:rPr>
                          <w:t xml:space="preserve">  </w:t>
                        </w:r>
                        <w:r w:rsidRPr="002C77F0">
                          <w:rPr>
                            <w:rFonts w:eastAsia="Times New Roman" w:cs="Arial"/>
                            <w:b/>
                            <w:bCs/>
                            <w:sz w:val="16"/>
                            <w:szCs w:val="16"/>
                          </w:rPr>
                          <w:t>toll free</w:t>
                        </w:r>
                        <w:r w:rsidRPr="002C77F0">
                          <w:rPr>
                            <w:rFonts w:eastAsia="Times New Roman" w:cs="Arial"/>
                            <w:b/>
                            <w:bCs/>
                            <w:i/>
                            <w:iCs/>
                            <w:sz w:val="16"/>
                            <w:szCs w:val="16"/>
                          </w:rPr>
                          <w:t xml:space="preserve"> </w:t>
                        </w:r>
                        <w:r w:rsidRPr="002C77F0">
                          <w:rPr>
                            <w:rFonts w:eastAsia="Times New Roman" w:cs="Arial"/>
                            <w:sz w:val="18"/>
                            <w:szCs w:val="18"/>
                          </w:rPr>
                          <w:t>(800) 363-5848</w:t>
                        </w:r>
                      </w:p>
                      <w:p w14:paraId="4A32455F" w14:textId="77777777" w:rsidR="006C7986" w:rsidRPr="002F5ADE" w:rsidRDefault="006C7986" w:rsidP="006C7986">
                        <w:pPr>
                          <w:spacing w:before="1"/>
                          <w:ind w:right="-46"/>
                          <w:jc w:val="center"/>
                          <w:rPr>
                            <w:rFonts w:ascii="Cambria"/>
                            <w:b/>
                            <w:color w:val="0BA995"/>
                            <w:sz w:val="20"/>
                          </w:rPr>
                        </w:pPr>
                        <w:hyperlink r:id="rId2" w:history="1">
                          <w:r w:rsidRPr="002F5ADE">
                            <w:rPr>
                              <w:rFonts w:ascii="Cambria"/>
                              <w:b/>
                              <w:color w:val="0BA995"/>
                              <w:sz w:val="20"/>
                            </w:rPr>
                            <w:t>sbci.org</w:t>
                          </w:r>
                        </w:hyperlink>
                      </w:p>
                      <w:p w14:paraId="7FAF607D" w14:textId="77777777" w:rsidR="002D5517" w:rsidRPr="00AB2C90" w:rsidRDefault="002D5517" w:rsidP="006C7986">
                        <w:pPr>
                          <w:spacing w:line="480" w:lineRule="auto"/>
                          <w:jc w:val="center"/>
                          <w:rPr>
                            <w:rFonts w:eastAsia="Times New Roman" w:cs="Arial"/>
                            <w:b/>
                            <w:bCs/>
                            <w:sz w:val="24"/>
                          </w:rPr>
                        </w:pPr>
                      </w:p>
                      <w:p w14:paraId="6D49510C" w14:textId="77777777" w:rsidR="002D5517" w:rsidRPr="002C77F0" w:rsidRDefault="002D5517" w:rsidP="002D5517">
                        <w:pPr>
                          <w:spacing w:line="360" w:lineRule="auto"/>
                          <w:jc w:val="center"/>
                          <w:rPr>
                            <w:rFonts w:eastAsia="Times New Roman" w:cs="Arial"/>
                            <w:sz w:val="21"/>
                            <w:szCs w:val="21"/>
                          </w:rPr>
                        </w:pPr>
                      </w:p>
                    </w:txbxContent>
                  </v:textbox>
                  <w10:wrap anchorx="margin"/>
                </v:shape>
              </w:pict>
            </mc:Fallback>
          </mc:AlternateContent>
        </w:r>
      </w:p>
    </w:sdtContent>
  </w:sdt>
  <w:p w14:paraId="4AA39F5F" w14:textId="5CFF1ACB" w:rsidR="00964501" w:rsidRPr="00964501" w:rsidRDefault="00964501" w:rsidP="00D5212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D27F" w14:textId="77777777" w:rsidR="00214344" w:rsidRDefault="00214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F44FC" w14:textId="77777777" w:rsidR="00F10AB8" w:rsidRDefault="00F10AB8" w:rsidP="006C6AB9">
      <w:r>
        <w:separator/>
      </w:r>
    </w:p>
  </w:footnote>
  <w:footnote w:type="continuationSeparator" w:id="0">
    <w:p w14:paraId="4A22A905" w14:textId="77777777" w:rsidR="00F10AB8" w:rsidRDefault="00F10AB8" w:rsidP="006C6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346B" w14:textId="77777777" w:rsidR="00214344" w:rsidRDefault="002143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7C4F" w14:textId="59067AB6" w:rsidR="00964501" w:rsidRDefault="00F76F97" w:rsidP="006C6AB9">
    <w:pPr>
      <w:pStyle w:val="Header"/>
    </w:pPr>
    <w:r>
      <w:rPr>
        <w:noProof/>
      </w:rPr>
      <mc:AlternateContent>
        <mc:Choice Requires="wps">
          <w:drawing>
            <wp:anchor distT="0" distB="0" distL="114300" distR="114300" simplePos="0" relativeHeight="251662336" behindDoc="0" locked="0" layoutInCell="1" allowOverlap="1" wp14:anchorId="7F6FFF08" wp14:editId="135BD880">
              <wp:simplePos x="0" y="0"/>
              <wp:positionH relativeFrom="column">
                <wp:posOffset>3267075</wp:posOffset>
              </wp:positionH>
              <wp:positionV relativeFrom="paragraph">
                <wp:posOffset>1007110</wp:posOffset>
              </wp:positionV>
              <wp:extent cx="2447925" cy="43180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2447925" cy="431800"/>
                      </a:xfrm>
                      <a:prstGeom prst="rect">
                        <a:avLst/>
                      </a:prstGeom>
                      <a:noFill/>
                      <a:ln w="6350">
                        <a:noFill/>
                      </a:ln>
                    </wps:spPr>
                    <wps:txbx>
                      <w:txbxContent>
                        <w:p w14:paraId="302BF48F" w14:textId="1A767938" w:rsidR="00F560DC" w:rsidRPr="00F76F97" w:rsidRDefault="00214344" w:rsidP="006429BC">
                          <w:pPr>
                            <w:pStyle w:val="DateMonthYear"/>
                            <w:rPr>
                              <w:color w:val="E8E8E8"/>
                              <w:sz w:val="28"/>
                              <w:szCs w:val="28"/>
                            </w:rPr>
                          </w:pPr>
                          <w:r>
                            <w:rPr>
                              <w:color w:val="E8E8E8"/>
                              <w:sz w:val="28"/>
                              <w:szCs w:val="28"/>
                            </w:rPr>
                            <w:t xml:space="preserve">Breakout Sessions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FFF08" id="_x0000_t202" coordsize="21600,21600" o:spt="202" path="m,l,21600r21600,l21600,xe">
              <v:stroke joinstyle="miter"/>
              <v:path gradientshapeok="t" o:connecttype="rect"/>
            </v:shapetype>
            <v:shape id="Text Box 4" o:spid="_x0000_s1026" type="#_x0000_t202" style="position:absolute;margin-left:257.25pt;margin-top:79.3pt;width:192.75pt;height: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" filled="f" stroked="f" strokeweight=".5pt">
              <v:textbox>
                <w:txbxContent>
                  <w:p w14:paraId="302BF48F" w14:textId="1A767938" w:rsidR="00F560DC" w:rsidRPr="00F76F97" w:rsidRDefault="00214344" w:rsidP="006429BC">
                    <w:pPr>
                      <w:pStyle w:val="DateMonthYear"/>
                      <w:rPr>
                        <w:color w:val="E8E8E8"/>
                        <w:sz w:val="28"/>
                        <w:szCs w:val="28"/>
                      </w:rPr>
                    </w:pPr>
                    <w:r>
                      <w:rPr>
                        <w:color w:val="E8E8E8"/>
                        <w:sz w:val="28"/>
                        <w:szCs w:val="28"/>
                      </w:rPr>
                      <w:t xml:space="preserve">Breakout Sessions </w:t>
                    </w:r>
                  </w:p>
                </w:txbxContent>
              </v:textbox>
            </v:shape>
          </w:pict>
        </mc:Fallback>
      </mc:AlternateContent>
    </w:r>
    <w:r w:rsidR="00C74A7D">
      <w:rPr>
        <w:noProof/>
      </w:rPr>
      <mc:AlternateContent>
        <mc:Choice Requires="wps">
          <w:drawing>
            <wp:anchor distT="0" distB="0" distL="114300" distR="114300" simplePos="0" relativeHeight="251660288" behindDoc="0" locked="0" layoutInCell="1" allowOverlap="1" wp14:anchorId="5CA76D06" wp14:editId="04D2EF56">
              <wp:simplePos x="0" y="0"/>
              <wp:positionH relativeFrom="column">
                <wp:posOffset>2771775</wp:posOffset>
              </wp:positionH>
              <wp:positionV relativeFrom="paragraph">
                <wp:posOffset>-145415</wp:posOffset>
              </wp:positionV>
              <wp:extent cx="3545840" cy="942975"/>
              <wp:effectExtent l="0" t="0" r="0" b="0"/>
              <wp:wrapNone/>
              <wp:docPr id="3" name="Text Box 3"/>
              <wp:cNvGraphicFramePr/>
              <a:graphic xmlns:a="http://schemas.openxmlformats.org/drawingml/2006/main">
                <a:graphicData uri="http://schemas.microsoft.com/office/word/2010/wordprocessingShape">
                  <wps:wsp>
                    <wps:cNvSpPr txBox="1"/>
                    <wps:spPr>
                      <a:xfrm>
                        <a:off x="0" y="0"/>
                        <a:ext cx="3545840" cy="942975"/>
                      </a:xfrm>
                      <a:prstGeom prst="rect">
                        <a:avLst/>
                      </a:prstGeom>
                      <a:noFill/>
                      <a:ln w="6350">
                        <a:noFill/>
                      </a:ln>
                    </wps:spPr>
                    <wps:txbx>
                      <w:txbxContent>
                        <w:p w14:paraId="402E087D" w14:textId="77777777" w:rsidR="00F76F97" w:rsidRDefault="00F76F97" w:rsidP="00F76F97">
                          <w:pPr>
                            <w:pStyle w:val="Default"/>
                            <w:jc w:val="center"/>
                            <w:rPr>
                              <w:rFonts w:cs="Times New Roman"/>
                              <w:color w:val="auto"/>
                            </w:rPr>
                          </w:pPr>
                          <w:r>
                            <w:rPr>
                              <w:rFonts w:cs="Times New Roman"/>
                              <w:b/>
                              <w:bCs/>
                              <w:color w:val="57A77D"/>
                              <w:sz w:val="40"/>
                              <w:szCs w:val="40"/>
                            </w:rPr>
                            <w:t>SBCI MEMBER CONFERENCE</w:t>
                          </w:r>
                        </w:p>
                        <w:p w14:paraId="67A98201" w14:textId="6DC1D5A5" w:rsidR="00F7276A" w:rsidRPr="0089108E" w:rsidRDefault="00F7276A" w:rsidP="002979E2">
                          <w:pPr>
                            <w:pStyle w:val="H1"/>
                            <w:jc w:val="cente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A76D06" id="Text Box 3" o:spid="_x0000_s1027" type="#_x0000_t202" style="position:absolute;margin-left:218.25pt;margin-top:-11.45pt;width:279.2pt;height:74.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" filled="f" stroked="f" strokeweight=".5pt">
              <v:textbox>
                <w:txbxContent>
                  <w:p w14:paraId="402E087D" w14:textId="77777777" w:rsidR="00F76F97" w:rsidRDefault="00F76F97" w:rsidP="00F76F97">
                    <w:pPr>
                      <w:pStyle w:val="Default"/>
                      <w:jc w:val="center"/>
                      <w:rPr>
                        <w:rFonts w:cs="Times New Roman"/>
                        <w:color w:val="auto"/>
                      </w:rPr>
                    </w:pPr>
                    <w:r>
                      <w:rPr>
                        <w:rFonts w:cs="Times New Roman"/>
                        <w:b/>
                        <w:bCs/>
                        <w:color w:val="57A77D"/>
                        <w:sz w:val="40"/>
                        <w:szCs w:val="40"/>
                      </w:rPr>
                      <w:t>SBCI MEMBER CONFERENCE</w:t>
                    </w:r>
                  </w:p>
                  <w:p w14:paraId="67A98201" w14:textId="6DC1D5A5" w:rsidR="00F7276A" w:rsidRPr="0089108E" w:rsidRDefault="00F7276A" w:rsidP="002979E2">
                    <w:pPr>
                      <w:pStyle w:val="H1"/>
                      <w:jc w:val="center"/>
                      <w:rPr>
                        <w:sz w:val="40"/>
                        <w:szCs w:val="40"/>
                      </w:rPr>
                    </w:pPr>
                  </w:p>
                </w:txbxContent>
              </v:textbox>
            </v:shape>
          </w:pict>
        </mc:Fallback>
      </mc:AlternateContent>
    </w:r>
    <w:r w:rsidR="002D5517">
      <w:rPr>
        <w:noProof/>
      </w:rPr>
      <w:drawing>
        <wp:anchor distT="0" distB="0" distL="114300" distR="114300" simplePos="0" relativeHeight="251658240" behindDoc="1" locked="0" layoutInCell="1" allowOverlap="1" wp14:anchorId="48D38885" wp14:editId="70C99478">
          <wp:simplePos x="0" y="0"/>
          <wp:positionH relativeFrom="page">
            <wp:align>right</wp:align>
          </wp:positionH>
          <wp:positionV relativeFrom="paragraph">
            <wp:posOffset>-469265</wp:posOffset>
          </wp:positionV>
          <wp:extent cx="7769139" cy="1946275"/>
          <wp:effectExtent l="0" t="0" r="3810" b="0"/>
          <wp:wrapNone/>
          <wp:docPr id="1495909661" name="Picture 149590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ng"/>
                  <pic:cNvPicPr/>
                </pic:nvPicPr>
                <pic:blipFill>
                  <a:blip r:embed="rId1">
                    <a:extLst>
                      <a:ext uri="{28A0092B-C50C-407E-A947-70E740481C1C}">
                        <a14:useLocalDpi xmlns:a14="http://schemas.microsoft.com/office/drawing/2010/main" val="0"/>
                      </a:ext>
                    </a:extLst>
                  </a:blip>
                  <a:stretch>
                    <a:fillRect/>
                  </a:stretch>
                </pic:blipFill>
                <pic:spPr>
                  <a:xfrm>
                    <a:off x="0" y="0"/>
                    <a:ext cx="7769139" cy="1946275"/>
                  </a:xfrm>
                  <a:prstGeom prst="rect">
                    <a:avLst/>
                  </a:prstGeom>
                </pic:spPr>
              </pic:pic>
            </a:graphicData>
          </a:graphic>
          <wp14:sizeRelH relativeFrom="page">
            <wp14:pctWidth>0</wp14:pctWidth>
          </wp14:sizeRelH>
          <wp14:sizeRelV relativeFrom="page">
            <wp14:pctHeight>0</wp14:pctHeight>
          </wp14:sizeRelV>
        </wp:anchor>
      </w:drawing>
    </w:r>
    <w:r w:rsidR="009B7709">
      <w:rPr>
        <w:noProof/>
      </w:rPr>
      <mc:AlternateContent>
        <mc:Choice Requires="wps">
          <w:drawing>
            <wp:anchor distT="0" distB="0" distL="114300" distR="114300" simplePos="0" relativeHeight="251664384" behindDoc="0" locked="0" layoutInCell="1" allowOverlap="1" wp14:anchorId="73B275EE" wp14:editId="3523A5F4">
              <wp:simplePos x="0" y="0"/>
              <wp:positionH relativeFrom="column">
                <wp:posOffset>5366068</wp:posOffset>
              </wp:positionH>
              <wp:positionV relativeFrom="paragraph">
                <wp:posOffset>1049655</wp:posOffset>
              </wp:positionV>
              <wp:extent cx="1481138" cy="297366"/>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1481138" cy="297366"/>
                      </a:xfrm>
                      <a:prstGeom prst="rect">
                        <a:avLst/>
                      </a:prstGeom>
                      <a:noFill/>
                      <a:ln w="6350">
                        <a:noFill/>
                      </a:ln>
                    </wps:spPr>
                    <wps:txbx>
                      <w:txbxContent>
                        <w:p w14:paraId="1336B472" w14:textId="4F55654D" w:rsidR="00F560DC" w:rsidRPr="009B7709" w:rsidRDefault="00F560DC" w:rsidP="006429BC">
                          <w:pPr>
                            <w:pStyle w:val="FlashNewsletter"/>
                            <w:rPr>
                              <w:i w:val="0"/>
                              <w:iCs w:val="0"/>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275EE" id="Text Box 5" o:spid="_x0000_s1028" type="#_x0000_t202" style="position:absolute;margin-left:422.55pt;margin-top:82.65pt;width:116.65pt;height:2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" filled="f" stroked="f" strokeweight=".5pt">
              <v:textbox>
                <w:txbxContent>
                  <w:p w14:paraId="1336B472" w14:textId="4F55654D" w:rsidR="00F560DC" w:rsidRPr="009B7709" w:rsidRDefault="00F560DC" w:rsidP="006429BC">
                    <w:pPr>
                      <w:pStyle w:val="FlashNewsletter"/>
                      <w:rPr>
                        <w:i w:val="0"/>
                        <w:iCs w:val="0"/>
                        <w:sz w:val="32"/>
                        <w:szCs w:val="32"/>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2B09" w14:textId="77777777" w:rsidR="00214344" w:rsidRDefault="002143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7FD"/>
    <w:multiLevelType w:val="hybridMultilevel"/>
    <w:tmpl w:val="586C7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91D26"/>
    <w:multiLevelType w:val="hybridMultilevel"/>
    <w:tmpl w:val="667AD29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09425B86"/>
    <w:multiLevelType w:val="hybridMultilevel"/>
    <w:tmpl w:val="6044ACAA"/>
    <w:lvl w:ilvl="0" w:tplc="9D3C9D34">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47D72"/>
    <w:multiLevelType w:val="multilevel"/>
    <w:tmpl w:val="A0AEDB00"/>
    <w:lvl w:ilvl="0">
      <w:start w:val="6"/>
      <w:numFmt w:val="decimal"/>
      <w:lvlText w:val="%1."/>
      <w:lvlJc w:val="left"/>
      <w:pPr>
        <w:ind w:left="540" w:hanging="540"/>
      </w:pPr>
      <w:rPr>
        <w:rFonts w:hint="default"/>
        <w:b w:val="0"/>
      </w:rPr>
    </w:lvl>
    <w:lvl w:ilvl="1">
      <w:start w:val="1"/>
      <w:numFmt w:val="decimal"/>
      <w:lvlText w:val="%1.%2."/>
      <w:lvlJc w:val="left"/>
      <w:pPr>
        <w:ind w:left="90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620" w:hanging="108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2340" w:hanging="144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3060" w:hanging="1800"/>
      </w:pPr>
      <w:rPr>
        <w:rFonts w:hint="default"/>
        <w:b w:val="0"/>
      </w:rPr>
    </w:lvl>
    <w:lvl w:ilvl="8">
      <w:start w:val="1"/>
      <w:numFmt w:val="decimal"/>
      <w:lvlText w:val="%1.%2.%3.%4.%5.%6.%7.%8.%9."/>
      <w:lvlJc w:val="left"/>
      <w:pPr>
        <w:ind w:left="3240" w:hanging="1800"/>
      </w:pPr>
      <w:rPr>
        <w:rFonts w:hint="default"/>
        <w:b w:val="0"/>
      </w:rPr>
    </w:lvl>
  </w:abstractNum>
  <w:abstractNum w:abstractNumId="4" w15:restartNumberingAfterBreak="0">
    <w:nsid w:val="0D342BA8"/>
    <w:multiLevelType w:val="hybridMultilevel"/>
    <w:tmpl w:val="017C5F4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2AF655B"/>
    <w:multiLevelType w:val="hybridMultilevel"/>
    <w:tmpl w:val="4AE83E6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8357FB"/>
    <w:multiLevelType w:val="hybridMultilevel"/>
    <w:tmpl w:val="6938FD2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 w15:restartNumberingAfterBreak="0">
    <w:nsid w:val="34B244E0"/>
    <w:multiLevelType w:val="hybridMultilevel"/>
    <w:tmpl w:val="E2CAE446"/>
    <w:lvl w:ilvl="0" w:tplc="BAD887B6">
      <w:numFmt w:val="bullet"/>
      <w:lvlText w:val="-"/>
      <w:lvlJc w:val="left"/>
      <w:pPr>
        <w:ind w:left="720" w:hanging="360"/>
      </w:pPr>
      <w:rPr>
        <w:rFonts w:ascii="Aptos" w:eastAsia="Aptos" w:hAnsi="Aptos"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3C152F1E"/>
    <w:multiLevelType w:val="multilevel"/>
    <w:tmpl w:val="A2A2A244"/>
    <w:lvl w:ilvl="0">
      <w:start w:val="6"/>
      <w:numFmt w:val="decimal"/>
      <w:lvlText w:val="%1"/>
      <w:lvlJc w:val="left"/>
      <w:pPr>
        <w:ind w:left="360" w:hanging="360"/>
      </w:pPr>
      <w:rPr>
        <w:rFonts w:hint="default"/>
      </w:rPr>
    </w:lvl>
    <w:lvl w:ilv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C7549A"/>
    <w:multiLevelType w:val="hybridMultilevel"/>
    <w:tmpl w:val="AC662F9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0" w15:restartNumberingAfterBreak="0">
    <w:nsid w:val="41EA705A"/>
    <w:multiLevelType w:val="multilevel"/>
    <w:tmpl w:val="1F2ADEBE"/>
    <w:lvl w:ilvl="0">
      <w:start w:val="6"/>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50AD30E4"/>
    <w:multiLevelType w:val="hybridMultilevel"/>
    <w:tmpl w:val="79B0FAB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2" w15:restartNumberingAfterBreak="0">
    <w:nsid w:val="59B118FF"/>
    <w:multiLevelType w:val="multilevel"/>
    <w:tmpl w:val="75BE8FB0"/>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D7F163E"/>
    <w:multiLevelType w:val="hybridMultilevel"/>
    <w:tmpl w:val="93349B88"/>
    <w:lvl w:ilvl="0" w:tplc="D1E4BF2E">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2474C8"/>
    <w:multiLevelType w:val="hybridMultilevel"/>
    <w:tmpl w:val="5C56D886"/>
    <w:lvl w:ilvl="0" w:tplc="D1E4BF2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0D1D7C"/>
    <w:multiLevelType w:val="hybridMultilevel"/>
    <w:tmpl w:val="15F853B2"/>
    <w:lvl w:ilvl="0" w:tplc="0226BB4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995735">
    <w:abstractNumId w:val="14"/>
  </w:num>
  <w:num w:numId="2" w16cid:durableId="456416314">
    <w:abstractNumId w:val="13"/>
  </w:num>
  <w:num w:numId="3" w16cid:durableId="2143881990">
    <w:abstractNumId w:val="6"/>
  </w:num>
  <w:num w:numId="4" w16cid:durableId="104232778">
    <w:abstractNumId w:val="5"/>
  </w:num>
  <w:num w:numId="5" w16cid:durableId="1028413976">
    <w:abstractNumId w:val="12"/>
  </w:num>
  <w:num w:numId="6" w16cid:durableId="1332567951">
    <w:abstractNumId w:val="8"/>
  </w:num>
  <w:num w:numId="7" w16cid:durableId="486290143">
    <w:abstractNumId w:val="3"/>
  </w:num>
  <w:num w:numId="8" w16cid:durableId="1576666517">
    <w:abstractNumId w:val="10"/>
  </w:num>
  <w:num w:numId="9" w16cid:durableId="607471146">
    <w:abstractNumId w:val="4"/>
  </w:num>
  <w:num w:numId="10" w16cid:durableId="4332853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01958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99581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9580795">
    <w:abstractNumId w:val="15"/>
  </w:num>
  <w:num w:numId="14" w16cid:durableId="1259371379">
    <w:abstractNumId w:val="2"/>
  </w:num>
  <w:num w:numId="15" w16cid:durableId="2122021023">
    <w:abstractNumId w:val="0"/>
  </w:num>
  <w:num w:numId="16" w16cid:durableId="10518076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20B"/>
    <w:rsid w:val="0004603F"/>
    <w:rsid w:val="00061C8E"/>
    <w:rsid w:val="00086190"/>
    <w:rsid w:val="00097B2C"/>
    <w:rsid w:val="000C11AB"/>
    <w:rsid w:val="001346B9"/>
    <w:rsid w:val="001405DD"/>
    <w:rsid w:val="00200873"/>
    <w:rsid w:val="00205EFF"/>
    <w:rsid w:val="00214344"/>
    <w:rsid w:val="00252AB8"/>
    <w:rsid w:val="00272C81"/>
    <w:rsid w:val="0028480B"/>
    <w:rsid w:val="002979E2"/>
    <w:rsid w:val="002A3C10"/>
    <w:rsid w:val="002B7523"/>
    <w:rsid w:val="002C77F0"/>
    <w:rsid w:val="002D5517"/>
    <w:rsid w:val="002E1479"/>
    <w:rsid w:val="003134B6"/>
    <w:rsid w:val="003746A7"/>
    <w:rsid w:val="00391BB4"/>
    <w:rsid w:val="003E3E4A"/>
    <w:rsid w:val="003F1984"/>
    <w:rsid w:val="003F203F"/>
    <w:rsid w:val="0040730C"/>
    <w:rsid w:val="004D1D4F"/>
    <w:rsid w:val="004E2080"/>
    <w:rsid w:val="0050720B"/>
    <w:rsid w:val="00510780"/>
    <w:rsid w:val="0051786A"/>
    <w:rsid w:val="005368F3"/>
    <w:rsid w:val="00543CBC"/>
    <w:rsid w:val="00564EDD"/>
    <w:rsid w:val="00582C66"/>
    <w:rsid w:val="0063593B"/>
    <w:rsid w:val="006429BC"/>
    <w:rsid w:val="00653FB2"/>
    <w:rsid w:val="006640F2"/>
    <w:rsid w:val="006818A5"/>
    <w:rsid w:val="00684221"/>
    <w:rsid w:val="006A2868"/>
    <w:rsid w:val="006B46A0"/>
    <w:rsid w:val="006C6AB9"/>
    <w:rsid w:val="006C7986"/>
    <w:rsid w:val="006D27DF"/>
    <w:rsid w:val="00706774"/>
    <w:rsid w:val="007635F7"/>
    <w:rsid w:val="0078606F"/>
    <w:rsid w:val="007A438E"/>
    <w:rsid w:val="007A5148"/>
    <w:rsid w:val="007D3AF7"/>
    <w:rsid w:val="007D4C1C"/>
    <w:rsid w:val="00832A30"/>
    <w:rsid w:val="008468C4"/>
    <w:rsid w:val="008512FC"/>
    <w:rsid w:val="00880E15"/>
    <w:rsid w:val="0089108E"/>
    <w:rsid w:val="009168CF"/>
    <w:rsid w:val="00964501"/>
    <w:rsid w:val="009B7709"/>
    <w:rsid w:val="00A00B1D"/>
    <w:rsid w:val="00A06B53"/>
    <w:rsid w:val="00A320C7"/>
    <w:rsid w:val="00AA560C"/>
    <w:rsid w:val="00AB1F89"/>
    <w:rsid w:val="00AB2C90"/>
    <w:rsid w:val="00AF25C4"/>
    <w:rsid w:val="00AF2C7C"/>
    <w:rsid w:val="00BD7A64"/>
    <w:rsid w:val="00C14D1E"/>
    <w:rsid w:val="00C22A22"/>
    <w:rsid w:val="00C240EA"/>
    <w:rsid w:val="00C27068"/>
    <w:rsid w:val="00C32D95"/>
    <w:rsid w:val="00C51FD1"/>
    <w:rsid w:val="00C531C5"/>
    <w:rsid w:val="00C74A7D"/>
    <w:rsid w:val="00C968B7"/>
    <w:rsid w:val="00CE49F4"/>
    <w:rsid w:val="00CF4C00"/>
    <w:rsid w:val="00CF6B66"/>
    <w:rsid w:val="00D03F7A"/>
    <w:rsid w:val="00D25BC5"/>
    <w:rsid w:val="00D35817"/>
    <w:rsid w:val="00D5212C"/>
    <w:rsid w:val="00D75FAF"/>
    <w:rsid w:val="00DC21DE"/>
    <w:rsid w:val="00DE3D1C"/>
    <w:rsid w:val="00E05878"/>
    <w:rsid w:val="00E5444E"/>
    <w:rsid w:val="00E66F8B"/>
    <w:rsid w:val="00F10AB8"/>
    <w:rsid w:val="00F560DC"/>
    <w:rsid w:val="00F64037"/>
    <w:rsid w:val="00F7276A"/>
    <w:rsid w:val="00F76F97"/>
    <w:rsid w:val="00F80362"/>
    <w:rsid w:val="00FF5E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0C664"/>
  <w15:chartTrackingRefBased/>
  <w15:docId w15:val="{9C282FC9-1692-9241-A2AE-072B5F60C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AB9"/>
    <w:rPr>
      <w:rFonts w:ascii="Arial" w:hAnsi="Arial"/>
      <w:color w:val="042C3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501"/>
    <w:pPr>
      <w:tabs>
        <w:tab w:val="center" w:pos="4680"/>
        <w:tab w:val="right" w:pos="9360"/>
      </w:tabs>
    </w:pPr>
  </w:style>
  <w:style w:type="character" w:customStyle="1" w:styleId="HeaderChar">
    <w:name w:val="Header Char"/>
    <w:basedOn w:val="DefaultParagraphFont"/>
    <w:link w:val="Header"/>
    <w:uiPriority w:val="99"/>
    <w:rsid w:val="00964501"/>
  </w:style>
  <w:style w:type="paragraph" w:styleId="Footer">
    <w:name w:val="footer"/>
    <w:basedOn w:val="Normal"/>
    <w:link w:val="FooterChar"/>
    <w:uiPriority w:val="99"/>
    <w:unhideWhenUsed/>
    <w:rsid w:val="00964501"/>
    <w:pPr>
      <w:tabs>
        <w:tab w:val="center" w:pos="4680"/>
        <w:tab w:val="right" w:pos="9360"/>
      </w:tabs>
    </w:pPr>
  </w:style>
  <w:style w:type="character" w:customStyle="1" w:styleId="FooterChar">
    <w:name w:val="Footer Char"/>
    <w:basedOn w:val="DefaultParagraphFont"/>
    <w:link w:val="Footer"/>
    <w:uiPriority w:val="99"/>
    <w:rsid w:val="00964501"/>
  </w:style>
  <w:style w:type="paragraph" w:styleId="NormalWeb">
    <w:name w:val="Normal (Web)"/>
    <w:basedOn w:val="Normal"/>
    <w:uiPriority w:val="99"/>
    <w:semiHidden/>
    <w:unhideWhenUsed/>
    <w:rsid w:val="00CE49F4"/>
    <w:pPr>
      <w:spacing w:before="100" w:beforeAutospacing="1" w:after="100" w:afterAutospacing="1"/>
    </w:pPr>
    <w:rPr>
      <w:rFonts w:ascii="Times New Roman" w:eastAsia="Times New Roman" w:hAnsi="Times New Roman" w:cs="Times New Roman"/>
    </w:rPr>
  </w:style>
  <w:style w:type="paragraph" w:customStyle="1" w:styleId="H1">
    <w:name w:val="H1"/>
    <w:basedOn w:val="Normal"/>
    <w:qFormat/>
    <w:rsid w:val="00F7276A"/>
    <w:rPr>
      <w:rFonts w:cs="Arial"/>
      <w:b/>
      <w:bCs/>
      <w:sz w:val="44"/>
      <w:szCs w:val="44"/>
    </w:rPr>
  </w:style>
  <w:style w:type="paragraph" w:customStyle="1" w:styleId="FlashNewsletter">
    <w:name w:val="Flash Newsletter"/>
    <w:basedOn w:val="Normal"/>
    <w:qFormat/>
    <w:rsid w:val="00F560DC"/>
    <w:rPr>
      <w:rFonts w:cs="Arial"/>
      <w:b/>
      <w:bCs/>
      <w:i/>
      <w:iCs/>
      <w:color w:val="FFFFFF" w:themeColor="background1"/>
      <w:sz w:val="26"/>
      <w:szCs w:val="26"/>
    </w:rPr>
  </w:style>
  <w:style w:type="paragraph" w:customStyle="1" w:styleId="DateMonthYear">
    <w:name w:val="Date (Month Year)"/>
    <w:basedOn w:val="Normal"/>
    <w:qFormat/>
    <w:rsid w:val="00F560DC"/>
    <w:rPr>
      <w:rFonts w:cs="Arial"/>
      <w:b/>
      <w:bCs/>
      <w:color w:val="FFFFFF" w:themeColor="background1"/>
      <w:sz w:val="26"/>
      <w:szCs w:val="26"/>
    </w:rPr>
  </w:style>
  <w:style w:type="character" w:styleId="PageNumber">
    <w:name w:val="page number"/>
    <w:basedOn w:val="DefaultParagraphFont"/>
    <w:uiPriority w:val="99"/>
    <w:semiHidden/>
    <w:unhideWhenUsed/>
    <w:rsid w:val="002E1479"/>
    <w:rPr>
      <w:rFonts w:ascii="Arial" w:hAnsi="Arial"/>
      <w:b/>
    </w:rPr>
  </w:style>
  <w:style w:type="paragraph" w:styleId="BalloonText">
    <w:name w:val="Balloon Text"/>
    <w:basedOn w:val="Normal"/>
    <w:link w:val="BalloonTextChar"/>
    <w:uiPriority w:val="99"/>
    <w:semiHidden/>
    <w:unhideWhenUsed/>
    <w:rsid w:val="000C11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C11AB"/>
    <w:rPr>
      <w:rFonts w:ascii="Times New Roman" w:hAnsi="Times New Roman" w:cs="Times New Roman"/>
      <w:color w:val="042C33"/>
      <w:sz w:val="18"/>
      <w:szCs w:val="18"/>
    </w:rPr>
  </w:style>
  <w:style w:type="character" w:styleId="Hyperlink">
    <w:name w:val="Hyperlink"/>
    <w:basedOn w:val="DefaultParagraphFont"/>
    <w:uiPriority w:val="99"/>
    <w:unhideWhenUsed/>
    <w:rsid w:val="00D5212C"/>
    <w:rPr>
      <w:color w:val="0563C1" w:themeColor="hyperlink"/>
      <w:u w:val="single"/>
    </w:rPr>
  </w:style>
  <w:style w:type="character" w:styleId="UnresolvedMention">
    <w:name w:val="Unresolved Mention"/>
    <w:basedOn w:val="DefaultParagraphFont"/>
    <w:uiPriority w:val="99"/>
    <w:semiHidden/>
    <w:unhideWhenUsed/>
    <w:rsid w:val="00D5212C"/>
    <w:rPr>
      <w:color w:val="605E5C"/>
      <w:shd w:val="clear" w:color="auto" w:fill="E1DFDD"/>
    </w:rPr>
  </w:style>
  <w:style w:type="paragraph" w:styleId="ListParagraph">
    <w:name w:val="List Paragraph"/>
    <w:basedOn w:val="Normal"/>
    <w:uiPriority w:val="34"/>
    <w:qFormat/>
    <w:rsid w:val="00C74A7D"/>
    <w:pPr>
      <w:spacing w:after="160" w:line="259" w:lineRule="auto"/>
      <w:ind w:left="720"/>
      <w:contextualSpacing/>
    </w:pPr>
    <w:rPr>
      <w:rFonts w:cs="Arial"/>
      <w:color w:val="auto"/>
      <w:kern w:val="2"/>
      <w:szCs w:val="22"/>
      <w14:ligatures w14:val="standardContextual"/>
    </w:rPr>
  </w:style>
  <w:style w:type="paragraph" w:customStyle="1" w:styleId="pf0">
    <w:name w:val="pf0"/>
    <w:basedOn w:val="Normal"/>
    <w:rsid w:val="00C74A7D"/>
    <w:pPr>
      <w:spacing w:before="100" w:beforeAutospacing="1" w:after="100" w:afterAutospacing="1"/>
    </w:pPr>
    <w:rPr>
      <w:rFonts w:ascii="Times New Roman" w:eastAsia="Times New Roman" w:hAnsi="Times New Roman" w:cs="Times New Roman"/>
      <w:color w:val="auto"/>
      <w:sz w:val="24"/>
      <w:lang w:val="en-US"/>
    </w:rPr>
  </w:style>
  <w:style w:type="character" w:customStyle="1" w:styleId="cf01">
    <w:name w:val="cf01"/>
    <w:basedOn w:val="DefaultParagraphFont"/>
    <w:rsid w:val="00C74A7D"/>
    <w:rPr>
      <w:rFonts w:ascii="Segoe UI" w:hAnsi="Segoe UI" w:cs="Segoe UI" w:hint="default"/>
      <w:sz w:val="18"/>
      <w:szCs w:val="18"/>
    </w:rPr>
  </w:style>
  <w:style w:type="paragraph" w:customStyle="1" w:styleId="Default">
    <w:name w:val="Default"/>
    <w:rsid w:val="00F76F97"/>
    <w:pPr>
      <w:autoSpaceDE w:val="0"/>
      <w:autoSpaceDN w:val="0"/>
      <w:adjustRightInd w:val="0"/>
    </w:pPr>
    <w:rPr>
      <w:rFonts w:ascii="Poppins" w:hAnsi="Poppins" w:cs="Poppins"/>
      <w:color w:val="000000"/>
      <w:lang w:val="en-US"/>
      <w14:ligatures w14:val="standardContextual"/>
    </w:rPr>
  </w:style>
  <w:style w:type="character" w:styleId="Strong">
    <w:name w:val="Strong"/>
    <w:basedOn w:val="DefaultParagraphFont"/>
    <w:uiPriority w:val="22"/>
    <w:qFormat/>
    <w:rsid w:val="00F76F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983078">
      <w:bodyDiv w:val="1"/>
      <w:marLeft w:val="0"/>
      <w:marRight w:val="0"/>
      <w:marTop w:val="0"/>
      <w:marBottom w:val="0"/>
      <w:divBdr>
        <w:top w:val="none" w:sz="0" w:space="0" w:color="auto"/>
        <w:left w:val="none" w:sz="0" w:space="0" w:color="auto"/>
        <w:bottom w:val="none" w:sz="0" w:space="0" w:color="auto"/>
        <w:right w:val="none" w:sz="0" w:space="0" w:color="auto"/>
      </w:divBdr>
    </w:div>
    <w:div w:id="1158962439">
      <w:bodyDiv w:val="1"/>
      <w:marLeft w:val="0"/>
      <w:marRight w:val="0"/>
      <w:marTop w:val="0"/>
      <w:marBottom w:val="0"/>
      <w:divBdr>
        <w:top w:val="none" w:sz="0" w:space="0" w:color="auto"/>
        <w:left w:val="none" w:sz="0" w:space="0" w:color="auto"/>
        <w:bottom w:val="none" w:sz="0" w:space="0" w:color="auto"/>
        <w:right w:val="none" w:sz="0" w:space="0" w:color="auto"/>
      </w:divBdr>
      <w:divsChild>
        <w:div w:id="795829083">
          <w:marLeft w:val="0"/>
          <w:marRight w:val="-2400"/>
          <w:marTop w:val="0"/>
          <w:marBottom w:val="0"/>
          <w:divBdr>
            <w:top w:val="none" w:sz="0" w:space="0" w:color="auto"/>
            <w:left w:val="none" w:sz="0" w:space="0" w:color="auto"/>
            <w:bottom w:val="none" w:sz="0" w:space="0" w:color="auto"/>
            <w:right w:val="none" w:sz="0" w:space="0" w:color="auto"/>
          </w:divBdr>
          <w:divsChild>
            <w:div w:id="1317566790">
              <w:marLeft w:val="0"/>
              <w:marRight w:val="0"/>
              <w:marTop w:val="0"/>
              <w:marBottom w:val="0"/>
              <w:divBdr>
                <w:top w:val="none" w:sz="0" w:space="0" w:color="auto"/>
                <w:left w:val="none" w:sz="0" w:space="0" w:color="auto"/>
                <w:bottom w:val="none" w:sz="0" w:space="0" w:color="auto"/>
                <w:right w:val="none" w:sz="0" w:space="0" w:color="auto"/>
              </w:divBdr>
              <w:divsChild>
                <w:div w:id="18291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9710">
          <w:marLeft w:val="432"/>
          <w:marRight w:val="432"/>
          <w:marTop w:val="150"/>
          <w:marBottom w:val="150"/>
          <w:divBdr>
            <w:top w:val="none" w:sz="0" w:space="0" w:color="auto"/>
            <w:left w:val="none" w:sz="0" w:space="0" w:color="auto"/>
            <w:bottom w:val="none" w:sz="0" w:space="0" w:color="auto"/>
            <w:right w:val="none" w:sz="0" w:space="0" w:color="auto"/>
          </w:divBdr>
        </w:div>
      </w:divsChild>
    </w:div>
    <w:div w:id="1479566475">
      <w:bodyDiv w:val="1"/>
      <w:marLeft w:val="0"/>
      <w:marRight w:val="0"/>
      <w:marTop w:val="0"/>
      <w:marBottom w:val="0"/>
      <w:divBdr>
        <w:top w:val="none" w:sz="0" w:space="0" w:color="auto"/>
        <w:left w:val="none" w:sz="0" w:space="0" w:color="auto"/>
        <w:bottom w:val="none" w:sz="0" w:space="0" w:color="auto"/>
        <w:right w:val="none" w:sz="0" w:space="0" w:color="auto"/>
      </w:divBdr>
      <w:divsChild>
        <w:div w:id="168444897">
          <w:marLeft w:val="0"/>
          <w:marRight w:val="-2400"/>
          <w:marTop w:val="0"/>
          <w:marBottom w:val="0"/>
          <w:divBdr>
            <w:top w:val="none" w:sz="0" w:space="0" w:color="auto"/>
            <w:left w:val="none" w:sz="0" w:space="0" w:color="auto"/>
            <w:bottom w:val="none" w:sz="0" w:space="0" w:color="auto"/>
            <w:right w:val="none" w:sz="0" w:space="0" w:color="auto"/>
          </w:divBdr>
          <w:divsChild>
            <w:div w:id="1407537068">
              <w:marLeft w:val="0"/>
              <w:marRight w:val="0"/>
              <w:marTop w:val="0"/>
              <w:marBottom w:val="0"/>
              <w:divBdr>
                <w:top w:val="none" w:sz="0" w:space="0" w:color="auto"/>
                <w:left w:val="none" w:sz="0" w:space="0" w:color="auto"/>
                <w:bottom w:val="none" w:sz="0" w:space="0" w:color="auto"/>
                <w:right w:val="none" w:sz="0" w:space="0" w:color="auto"/>
              </w:divBdr>
              <w:divsChild>
                <w:div w:id="150493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471583">
          <w:marLeft w:val="432"/>
          <w:marRight w:val="432"/>
          <w:marTop w:val="150"/>
          <w:marBottom w:val="150"/>
          <w:divBdr>
            <w:top w:val="none" w:sz="0" w:space="0" w:color="auto"/>
            <w:left w:val="none" w:sz="0" w:space="0" w:color="auto"/>
            <w:bottom w:val="none" w:sz="0" w:space="0" w:color="auto"/>
            <w:right w:val="none" w:sz="0" w:space="0" w:color="auto"/>
          </w:divBdr>
        </w:div>
      </w:divsChild>
    </w:div>
    <w:div w:id="1767310639">
      <w:bodyDiv w:val="1"/>
      <w:marLeft w:val="0"/>
      <w:marRight w:val="0"/>
      <w:marTop w:val="0"/>
      <w:marBottom w:val="0"/>
      <w:divBdr>
        <w:top w:val="none" w:sz="0" w:space="0" w:color="auto"/>
        <w:left w:val="none" w:sz="0" w:space="0" w:color="auto"/>
        <w:bottom w:val="none" w:sz="0" w:space="0" w:color="auto"/>
        <w:right w:val="none" w:sz="0" w:space="0" w:color="auto"/>
      </w:divBdr>
    </w:div>
    <w:div w:id="18269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sbci.org" TargetMode="External"/><Relationship Id="rId1" Type="http://schemas.openxmlformats.org/officeDocument/2006/relationships/hyperlink" Target="http://www.sbci.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1424</Words>
  <Characters>8422</Characters>
  <Application>Microsoft Office Word</Application>
  <DocSecurity>2</DocSecurity>
  <Lines>187</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Hodgson</dc:creator>
  <cp:keywords/>
  <dc:description/>
  <cp:lastModifiedBy>Jennifer Tusa</cp:lastModifiedBy>
  <cp:revision>6</cp:revision>
  <dcterms:created xsi:type="dcterms:W3CDTF">2026-09-11T11:43:00Z</dcterms:created>
  <dcterms:modified xsi:type="dcterms:W3CDTF">2026-09-15T13:09:00Z</dcterms:modified>
</cp:coreProperties>
</file>